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(Rule 13d-102)</w:t>
      </w:r>
    </w:p>
    <w:p>
      <w:pPr>
        <w:spacing w:after="0" w:line="203" w:lineRule="exact"/>
        <w:rPr>
          <w:sz w:val="24"/>
          <w:szCs w:val="24"/>
          <w:color w:val="auto"/>
        </w:rPr>
      </w:pPr>
    </w:p>
    <w:p>
      <w:pPr>
        <w:jc w:val="center"/>
        <w:ind w:left="340" w:right="2580"/>
        <w:spacing w:after="0" w:line="268" w:lineRule="auto"/>
        <w:rPr>
          <w:sz w:val="20"/>
          <w:szCs w:val="20"/>
          <w:color w:val="auto"/>
        </w:rPr>
      </w:pPr>
      <w:r>
        <w:rPr>
          <w:rFonts w:ascii="Times New Roman" w:cs="Times New Roman" w:eastAsia="Times New Roman" w:hAnsi="Times New Roman"/>
          <w:sz w:val="18"/>
          <w:szCs w:val="18"/>
          <w:b w:val="1"/>
          <w:bCs w:val="1"/>
          <w:color w:val="auto"/>
        </w:rPr>
        <w:t>INFORMATION TO BE INCLUDED IN STATEMENTS FILED PURSUANT TO § 240.13d-1(b), (c) AND (d) AND AMENDMENTS THERETO FILED PURSUANT TO § 240.13d-2</w:t>
      </w:r>
    </w:p>
    <w:p>
      <w:pPr>
        <w:spacing w:after="0" w:line="1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39"/>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(Amendment No.</w:t>
        <w:tab/>
        <w:t>)*</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Huize Holding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common shares, par value $0.00001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44473E105**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660"/>
        <w:spacing w:after="0"/>
        <w:rPr>
          <w:sz w:val="24"/>
          <w:szCs w:val="24"/>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660"/>
        <w:spacing w:after="0"/>
        <w:rPr>
          <w:sz w:val="24"/>
          <w:szCs w:val="24"/>
          <w:color w:val="auto"/>
        </w:rPr>
      </w:pPr>
      <w:r>
        <w:rPr>
          <w:rFonts w:ascii="Times New Roman" w:cs="Times New Roman" w:eastAsia="Times New Roman" w:hAnsi="Times New Roman"/>
          <w:sz w:val="18"/>
          <w:szCs w:val="18"/>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426085</wp:posOffset>
            </wp:positionH>
            <wp:positionV relativeFrom="paragraph">
              <wp:posOffset>-103505</wp:posOffset>
            </wp:positionV>
            <wp:extent cx="87630" cy="876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7630" cy="87630"/>
                    </a:xfrm>
                    <a:prstGeom prst="rect">
                      <a:avLst/>
                    </a:prstGeom>
                    <a:noFill/>
                  </pic:spPr>
                </pic:pic>
              </a:graphicData>
            </a:graphic>
          </wp:anchor>
        </w:drawing>
      </w:r>
    </w:p>
    <w:p>
      <w:pPr>
        <w:spacing w:after="0" w:line="205" w:lineRule="exact"/>
        <w:rPr>
          <w:sz w:val="24"/>
          <w:szCs w:val="24"/>
          <w:color w:val="auto"/>
        </w:rPr>
      </w:pPr>
    </w:p>
    <w:p>
      <w:pPr>
        <w:ind w:left="1240" w:hanging="584"/>
        <w:spacing w:after="0"/>
        <w:tabs>
          <w:tab w:leader="none" w:pos="1240" w:val="left"/>
        </w:tabs>
        <w:numPr>
          <w:ilvl w:val="1"/>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Rule 13d-1(d)</w:t>
      </w:r>
    </w:p>
    <w:p>
      <w:pPr>
        <w:spacing w:after="0" w:line="225" w:lineRule="exact"/>
        <w:rPr>
          <w:rFonts w:ascii="Times New Roman" w:cs="Times New Roman" w:eastAsia="Times New Roman" w:hAnsi="Times New Roman"/>
          <w:sz w:val="18"/>
          <w:szCs w:val="18"/>
          <w:b w:val="1"/>
          <w:bCs w:val="1"/>
          <w:color w:val="auto"/>
        </w:rPr>
      </w:pPr>
    </w:p>
    <w:p>
      <w:pPr>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1" w:lineRule="exact"/>
        <w:rPr>
          <w:rFonts w:ascii="Times New Roman" w:cs="Times New Roman" w:eastAsia="Times New Roman" w:hAnsi="Times New Roman"/>
          <w:sz w:val="18"/>
          <w:szCs w:val="18"/>
          <w:b w:val="1"/>
          <w:bCs w:val="1"/>
          <w:color w:val="auto"/>
        </w:rPr>
      </w:pPr>
    </w:p>
    <w:p>
      <w:pPr>
        <w:ind w:right="520" w:firstLine="8"/>
        <w:spacing w:after="0" w:line="282" w:lineRule="auto"/>
        <w:tabs>
          <w:tab w:leader="none" w:pos="22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CUSIP number applies to the American Depositary Shares (“ADSs”) of Huize Holding Limited (the “Issuer”), each representing 20 Class A common shares, par value $0.00001 per share, of the Issuer (“Class A common shares”).</w:t>
      </w:r>
    </w:p>
    <w:p>
      <w:pPr>
        <w:spacing w:after="0" w:line="162"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8"/>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44473E105**</w:t>
            </w:r>
          </w:p>
        </w:tc>
        <w:tc>
          <w:tcPr>
            <w:tcW w:w="840" w:type="dxa"/>
            <w:vAlign w:val="bottom"/>
          </w:tcPr>
          <w:p>
            <w:pPr>
              <w:spacing w:after="0"/>
              <w:rPr>
                <w:sz w:val="20"/>
                <w:szCs w:val="20"/>
                <w:color w:val="auto"/>
              </w:rPr>
            </w:pPr>
          </w:p>
        </w:tc>
        <w:tc>
          <w:tcPr>
            <w:tcW w:w="29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13G</w:t>
            </w: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6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2"/>
          </w:tcPr>
          <w:p>
            <w:pPr>
              <w:spacing w:after="0"/>
              <w:rPr>
                <w:sz w:val="18"/>
                <w:szCs w:val="18"/>
                <w:color w:val="auto"/>
              </w:rPr>
            </w:pPr>
          </w:p>
        </w:tc>
        <w:tc>
          <w:tcPr>
            <w:tcW w:w="29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3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060" w:type="dxa"/>
            <w:vAlign w:val="bottom"/>
            <w:tcBorders>
              <w:left w:val="single" w:sz="8" w:color="auto"/>
              <w:right w:val="single" w:sz="8" w:color="auto"/>
            </w:tcBorders>
          </w:tcPr>
          <w:p>
            <w:pPr>
              <w:spacing w:after="0"/>
              <w:rPr>
                <w:sz w:val="20"/>
                <w:szCs w:val="20"/>
                <w:color w:val="auto"/>
              </w:rPr>
            </w:pPr>
          </w:p>
        </w:tc>
        <w:tc>
          <w:tcPr>
            <w:tcW w:w="3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SAIF IV Healthcare (BVI) Limited</w:t>
            </w:r>
          </w:p>
        </w:tc>
        <w:tc>
          <w:tcPr>
            <w:tcW w:w="2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1060" w:type="dxa"/>
            <w:vAlign w:val="bottom"/>
            <w:tcBorders>
              <w:left w:val="single" w:sz="8" w:color="auto"/>
              <w:bottom w:val="single" w:sz="8" w:color="auto"/>
              <w:right w:val="single" w:sz="8" w:color="auto"/>
            </w:tcBorders>
          </w:tcPr>
          <w:p>
            <w:pPr>
              <w:spacing w:after="0"/>
              <w:rPr>
                <w:sz w:val="8"/>
                <w:szCs w:val="8"/>
                <w:color w:val="auto"/>
              </w:rPr>
            </w:pPr>
          </w:p>
        </w:tc>
        <w:tc>
          <w:tcPr>
            <w:tcW w:w="6140" w:type="dxa"/>
            <w:vAlign w:val="bottom"/>
            <w:tcBorders>
              <w:bottom w:val="single" w:sz="8" w:color="auto"/>
            </w:tcBorders>
            <w:gridSpan w:val="3"/>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w:t>
            </w:r>
          </w:p>
        </w:tc>
        <w:tc>
          <w:tcPr>
            <w:tcW w:w="6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60" w:type="dxa"/>
            <w:vAlign w:val="bottom"/>
            <w:tcBorders>
              <w:left w:val="single" w:sz="8" w:color="auto"/>
              <w:right w:val="single" w:sz="8" w:color="auto"/>
            </w:tcBorders>
          </w:tcPr>
          <w:p>
            <w:pPr>
              <w:spacing w:after="0"/>
              <w:rPr>
                <w:sz w:val="20"/>
                <w:szCs w:val="20"/>
                <w:color w:val="auto"/>
              </w:rPr>
            </w:pPr>
          </w:p>
        </w:tc>
        <w:tc>
          <w:tcPr>
            <w:tcW w:w="2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(SEE INSTRUCTIONS)</w:t>
            </w:r>
          </w:p>
        </w:tc>
        <w:tc>
          <w:tcPr>
            <w:tcW w:w="840" w:type="dxa"/>
            <w:vAlign w:val="bottom"/>
          </w:tcPr>
          <w:p>
            <w:pPr>
              <w:spacing w:after="0"/>
              <w:rPr>
                <w:sz w:val="20"/>
                <w:szCs w:val="20"/>
                <w:color w:val="auto"/>
              </w:rPr>
            </w:pPr>
          </w:p>
        </w:tc>
        <w:tc>
          <w:tcPr>
            <w:tcW w:w="298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(a)</w:t>
            </w:r>
          </w:p>
        </w:tc>
        <w:tc>
          <w:tcPr>
            <w:tcW w:w="680" w:type="dxa"/>
            <w:vAlign w:val="bottom"/>
          </w:tcPr>
          <w:p>
            <w:pPr>
              <w:spacing w:after="0"/>
              <w:rPr>
                <w:sz w:val="20"/>
                <w:szCs w:val="20"/>
                <w:color w:val="auto"/>
              </w:rPr>
            </w:pPr>
          </w:p>
        </w:tc>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w:t>
            </w:r>
          </w:p>
        </w:tc>
        <w:tc>
          <w:tcPr>
            <w:tcW w:w="2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060" w:type="dxa"/>
            <w:vAlign w:val="bottom"/>
            <w:tcBorders>
              <w:left w:val="single" w:sz="8" w:color="auto"/>
              <w:bottom w:val="single" w:sz="8" w:color="auto"/>
              <w:right w:val="single" w:sz="8" w:color="auto"/>
            </w:tcBorders>
          </w:tcPr>
          <w:p>
            <w:pPr>
              <w:spacing w:after="0"/>
              <w:rPr>
                <w:sz w:val="5"/>
                <w:szCs w:val="5"/>
                <w:color w:val="auto"/>
              </w:rPr>
            </w:pPr>
          </w:p>
        </w:tc>
        <w:tc>
          <w:tcPr>
            <w:tcW w:w="23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9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6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1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w:t>
            </w:r>
          </w:p>
        </w:tc>
        <w:tc>
          <w:tcPr>
            <w:tcW w:w="2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8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060" w:type="dxa"/>
            <w:vAlign w:val="bottom"/>
            <w:tcBorders>
              <w:left w:val="single" w:sz="8" w:color="auto"/>
              <w:bottom w:val="single" w:sz="8" w:color="auto"/>
              <w:right w:val="single" w:sz="8" w:color="auto"/>
            </w:tcBorders>
          </w:tcPr>
          <w:p>
            <w:pPr>
              <w:spacing w:after="0"/>
              <w:rPr>
                <w:sz w:val="8"/>
                <w:szCs w:val="8"/>
                <w:color w:val="auto"/>
              </w:rPr>
            </w:pPr>
          </w:p>
        </w:tc>
        <w:tc>
          <w:tcPr>
            <w:tcW w:w="6140" w:type="dxa"/>
            <w:vAlign w:val="bottom"/>
            <w:tcBorders>
              <w:bottom w:val="single" w:sz="8" w:color="auto"/>
            </w:tcBorders>
            <w:gridSpan w:val="3"/>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4</w:t>
            </w:r>
          </w:p>
        </w:tc>
        <w:tc>
          <w:tcPr>
            <w:tcW w:w="6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060" w:type="dxa"/>
            <w:vAlign w:val="bottom"/>
            <w:tcBorders>
              <w:left w:val="single" w:sz="8" w:color="auto"/>
              <w:right w:val="single" w:sz="8" w:color="auto"/>
            </w:tcBorders>
          </w:tcPr>
          <w:p>
            <w:pPr>
              <w:spacing w:after="0"/>
              <w:rPr>
                <w:sz w:val="20"/>
                <w:szCs w:val="20"/>
                <w:color w:val="auto"/>
              </w:rPr>
            </w:pPr>
          </w:p>
        </w:tc>
        <w:tc>
          <w:tcPr>
            <w:tcW w:w="23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British Virgin Islands</w:t>
            </w:r>
          </w:p>
        </w:tc>
        <w:tc>
          <w:tcPr>
            <w:tcW w:w="8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1060" w:type="dxa"/>
            <w:vAlign w:val="bottom"/>
            <w:tcBorders>
              <w:left w:val="single" w:sz="8" w:color="auto"/>
              <w:bottom w:val="single" w:sz="8" w:color="auto"/>
              <w:right w:val="single" w:sz="8" w:color="auto"/>
            </w:tcBorders>
          </w:tcPr>
          <w:p>
            <w:pPr>
              <w:spacing w:after="0"/>
              <w:rPr>
                <w:sz w:val="5"/>
                <w:szCs w:val="5"/>
                <w:color w:val="auto"/>
              </w:rPr>
            </w:pPr>
          </w:p>
        </w:tc>
        <w:tc>
          <w:tcPr>
            <w:tcW w:w="23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9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6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1060" w:type="dxa"/>
            <w:vAlign w:val="bottom"/>
            <w:tcBorders>
              <w:lef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5</w:t>
            </w:r>
          </w:p>
        </w:tc>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380" w:type="dxa"/>
            <w:vAlign w:val="bottom"/>
            <w:tcBorders>
              <w:left w:val="single" w:sz="8" w:color="auto"/>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NUMBER OF SHARES</w:t>
            </w:r>
          </w:p>
        </w:tc>
        <w:tc>
          <w:tcPr>
            <w:tcW w:w="840" w:type="dxa"/>
            <w:vAlign w:val="bottom"/>
            <w:tcBorders>
              <w:bottom w:val="single" w:sz="8" w:color="auto"/>
              <w:right w:val="single" w:sz="8" w:color="auto"/>
            </w:tcBorders>
          </w:tcPr>
          <w:p>
            <w:pPr>
              <w:spacing w:after="0"/>
              <w:rPr>
                <w:sz w:val="20"/>
                <w:szCs w:val="20"/>
                <w:color w:val="auto"/>
              </w:rPr>
            </w:pPr>
          </w:p>
        </w:tc>
        <w:tc>
          <w:tcPr>
            <w:tcW w:w="2980" w:type="dxa"/>
            <w:vAlign w:val="bottom"/>
            <w:tcBorders>
              <w:bottom w:val="single" w:sz="8" w:color="auto"/>
            </w:tcBorders>
          </w:tcPr>
          <w:p>
            <w:pPr>
              <w:ind w:left="100"/>
              <w:spacing w:after="0" w:line="239" w:lineRule="exact"/>
              <w:rPr>
                <w:sz w:val="20"/>
                <w:szCs w:val="20"/>
                <w:color w:val="auto"/>
              </w:rPr>
            </w:pPr>
            <w:r>
              <w:rPr>
                <w:rFonts w:ascii="Times New Roman" w:cs="Times New Roman" w:eastAsia="Times New Roman" w:hAnsi="Times New Roman"/>
                <w:sz w:val="18"/>
                <w:szCs w:val="18"/>
                <w:b w:val="1"/>
                <w:bCs w:val="1"/>
                <w:color w:val="auto"/>
              </w:rPr>
              <w:t>190,232,260</w:t>
            </w:r>
            <w:r>
              <w:rPr>
                <w:rFonts w:ascii="Times New Roman" w:cs="Times New Roman" w:eastAsia="Times New Roman" w:hAnsi="Times New Roman"/>
                <w:sz w:val="23"/>
                <w:szCs w:val="23"/>
                <w:b w:val="1"/>
                <w:bCs w:val="1"/>
                <w:color w:val="auto"/>
                <w:vertAlign w:val="superscript"/>
              </w:rPr>
              <w:t>(1)</w:t>
            </w:r>
          </w:p>
        </w:tc>
        <w:tc>
          <w:tcPr>
            <w:tcW w:w="6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380" w:type="dxa"/>
            <w:vAlign w:val="bottom"/>
            <w:tcBorders>
              <w:left w:val="single" w:sz="8" w:color="auto"/>
              <w:right w:val="single" w:sz="8" w:color="auto"/>
            </w:tcBorders>
            <w:gridSpan w:val="2"/>
            <w:vMerge w:val="continue"/>
          </w:tcPr>
          <w:p>
            <w:pPr>
              <w:spacing w:after="0"/>
              <w:rPr>
                <w:sz w:val="15"/>
                <w:szCs w:val="15"/>
                <w:color w:val="auto"/>
              </w:rPr>
            </w:pPr>
          </w:p>
        </w:tc>
        <w:tc>
          <w:tcPr>
            <w:tcW w:w="840" w:type="dxa"/>
            <w:vAlign w:val="bottom"/>
            <w:tcBorders>
              <w:right w:val="single" w:sz="8" w:color="auto"/>
            </w:tcBorders>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rPr>
              <w:t>6</w:t>
            </w:r>
          </w:p>
        </w:tc>
        <w:tc>
          <w:tcPr>
            <w:tcW w:w="2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3380" w:type="dxa"/>
            <w:vAlign w:val="bottom"/>
            <w:tcBorders>
              <w:left w:val="single" w:sz="8" w:color="auto"/>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BENEFICIALLY</w:t>
            </w:r>
          </w:p>
        </w:tc>
        <w:tc>
          <w:tcPr>
            <w:tcW w:w="840" w:type="dxa"/>
            <w:vAlign w:val="bottom"/>
            <w:tcBorders>
              <w:right w:val="single" w:sz="8" w:color="auto"/>
            </w:tcBorders>
            <w:vMerge w:val="continue"/>
          </w:tcPr>
          <w:p>
            <w:pPr>
              <w:spacing w:after="0"/>
              <w:rPr>
                <w:sz w:val="9"/>
                <w:szCs w:val="9"/>
                <w:color w:val="auto"/>
              </w:rPr>
            </w:pPr>
          </w:p>
        </w:tc>
        <w:tc>
          <w:tcPr>
            <w:tcW w:w="298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3380" w:type="dxa"/>
            <w:vAlign w:val="bottom"/>
            <w:tcBorders>
              <w:left w:val="single" w:sz="8" w:color="auto"/>
              <w:right w:val="single" w:sz="8" w:color="auto"/>
            </w:tcBorders>
            <w:gridSpan w:val="2"/>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2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0</w:t>
            </w: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380" w:type="dxa"/>
            <w:vAlign w:val="bottom"/>
            <w:tcBorders>
              <w:left w:val="single" w:sz="8" w:color="auto"/>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OWNED BY EACH</w:t>
            </w:r>
          </w:p>
        </w:tc>
        <w:tc>
          <w:tcPr>
            <w:tcW w:w="840" w:type="dxa"/>
            <w:vAlign w:val="bottom"/>
            <w:tcBorders>
              <w:bottom w:val="single" w:sz="8" w:color="auto"/>
              <w:right w:val="single" w:sz="8" w:color="auto"/>
            </w:tcBorders>
          </w:tcPr>
          <w:p>
            <w:pPr>
              <w:spacing w:after="0"/>
              <w:rPr>
                <w:sz w:val="10"/>
                <w:szCs w:val="10"/>
                <w:color w:val="auto"/>
              </w:rPr>
            </w:pPr>
          </w:p>
        </w:tc>
        <w:tc>
          <w:tcPr>
            <w:tcW w:w="2980" w:type="dxa"/>
            <w:vAlign w:val="bottom"/>
            <w:tcBorders>
              <w:bottom w:val="single" w:sz="8" w:color="auto"/>
            </w:tcBorders>
            <w:vMerge w:val="continue"/>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3380" w:type="dxa"/>
            <w:vAlign w:val="bottom"/>
            <w:tcBorders>
              <w:left w:val="single" w:sz="8" w:color="auto"/>
              <w:right w:val="single" w:sz="8" w:color="auto"/>
            </w:tcBorders>
            <w:gridSpan w:val="2"/>
            <w:vMerge w:val="continue"/>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29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33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REPORTING PERSON</w:t>
            </w:r>
          </w:p>
        </w:tc>
        <w:tc>
          <w:tcPr>
            <w:tcW w:w="84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7</w:t>
            </w:r>
          </w:p>
        </w:tc>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WITH</w:t>
            </w:r>
          </w:p>
        </w:tc>
        <w:tc>
          <w:tcPr>
            <w:tcW w:w="2320" w:type="dxa"/>
            <w:vAlign w:val="bottom"/>
            <w:tcBorders>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2980" w:type="dxa"/>
            <w:vAlign w:val="bottom"/>
            <w:tcBorders>
              <w:bottom w:val="single" w:sz="8" w:color="auto"/>
            </w:tcBorders>
          </w:tcPr>
          <w:p>
            <w:pPr>
              <w:ind w:left="100"/>
              <w:spacing w:after="0" w:line="239" w:lineRule="exact"/>
              <w:rPr>
                <w:sz w:val="20"/>
                <w:szCs w:val="20"/>
                <w:color w:val="auto"/>
              </w:rPr>
            </w:pPr>
            <w:r>
              <w:rPr>
                <w:rFonts w:ascii="Times New Roman" w:cs="Times New Roman" w:eastAsia="Times New Roman" w:hAnsi="Times New Roman"/>
                <w:sz w:val="18"/>
                <w:szCs w:val="18"/>
                <w:b w:val="1"/>
                <w:bCs w:val="1"/>
                <w:color w:val="auto"/>
              </w:rPr>
              <w:t>190,232,260</w:t>
            </w:r>
            <w:r>
              <w:rPr>
                <w:rFonts w:ascii="Times New Roman" w:cs="Times New Roman" w:eastAsia="Times New Roman" w:hAnsi="Times New Roman"/>
                <w:sz w:val="23"/>
                <w:szCs w:val="23"/>
                <w:b w:val="1"/>
                <w:bCs w:val="1"/>
                <w:color w:val="auto"/>
                <w:vertAlign w:val="superscript"/>
              </w:rPr>
              <w:t>(1)</w:t>
            </w:r>
          </w:p>
        </w:tc>
        <w:tc>
          <w:tcPr>
            <w:tcW w:w="6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1060" w:type="dxa"/>
            <w:vAlign w:val="bottom"/>
            <w:tcBorders>
              <w:lef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8</w:t>
            </w:r>
          </w:p>
        </w:tc>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060" w:type="dxa"/>
            <w:vAlign w:val="bottom"/>
            <w:tcBorders>
              <w:left w:val="single" w:sz="8" w:color="auto"/>
              <w:bottom w:val="single" w:sz="8" w:color="auto"/>
            </w:tcBorders>
          </w:tcPr>
          <w:p>
            <w:pPr>
              <w:spacing w:after="0"/>
              <w:rPr>
                <w:sz w:val="20"/>
                <w:szCs w:val="20"/>
                <w:color w:val="auto"/>
              </w:rPr>
            </w:pPr>
          </w:p>
        </w:tc>
        <w:tc>
          <w:tcPr>
            <w:tcW w:w="232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29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0</w:t>
            </w:r>
          </w:p>
        </w:tc>
        <w:tc>
          <w:tcPr>
            <w:tcW w:w="6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1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9</w:t>
            </w:r>
          </w:p>
        </w:tc>
        <w:tc>
          <w:tcPr>
            <w:tcW w:w="6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060" w:type="dxa"/>
            <w:vAlign w:val="bottom"/>
            <w:tcBorders>
              <w:left w:val="single" w:sz="8" w:color="auto"/>
              <w:right w:val="single" w:sz="8" w:color="auto"/>
            </w:tcBorders>
          </w:tcPr>
          <w:p>
            <w:pPr>
              <w:spacing w:after="0"/>
              <w:rPr>
                <w:sz w:val="18"/>
                <w:szCs w:val="18"/>
                <w:color w:val="auto"/>
              </w:rPr>
            </w:pPr>
          </w:p>
        </w:tc>
        <w:tc>
          <w:tcPr>
            <w:tcW w:w="2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REPORTING PERSON</w:t>
            </w:r>
          </w:p>
        </w:tc>
        <w:tc>
          <w:tcPr>
            <w:tcW w:w="8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7"/>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2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190,232,260</w:t>
            </w:r>
            <w:r>
              <w:rPr>
                <w:rFonts w:ascii="Times New Roman" w:cs="Times New Roman" w:eastAsia="Times New Roman" w:hAnsi="Times New Roman"/>
                <w:sz w:val="23"/>
                <w:szCs w:val="23"/>
                <w:b w:val="1"/>
                <w:bCs w:val="1"/>
                <w:color w:val="auto"/>
                <w:vertAlign w:val="superscript"/>
              </w:rPr>
              <w:t>(1)</w:t>
            </w:r>
          </w:p>
        </w:tc>
        <w:tc>
          <w:tcPr>
            <w:tcW w:w="8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10</w:t>
            </w:r>
          </w:p>
        </w:tc>
        <w:tc>
          <w:tcPr>
            <w:tcW w:w="6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(9)</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60" w:type="dxa"/>
            <w:vAlign w:val="bottom"/>
            <w:tcBorders>
              <w:left w:val="single" w:sz="8" w:color="auto"/>
              <w:right w:val="single" w:sz="8" w:color="auto"/>
            </w:tcBorders>
          </w:tcPr>
          <w:p>
            <w:pPr>
              <w:spacing w:after="0"/>
              <w:rPr>
                <w:sz w:val="20"/>
                <w:szCs w:val="20"/>
                <w:color w:val="auto"/>
              </w:rPr>
            </w:pPr>
          </w:p>
        </w:tc>
        <w:tc>
          <w:tcPr>
            <w:tcW w:w="6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EXCLUDES CERTAIN SHARES (SEE INSTRUCTIONS)</w:t>
            </w: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1060" w:type="dxa"/>
            <w:vAlign w:val="bottom"/>
            <w:tcBorders>
              <w:left w:val="single" w:sz="8" w:color="auto"/>
              <w:bottom w:val="single" w:sz="8" w:color="auto"/>
              <w:right w:val="single" w:sz="8" w:color="auto"/>
            </w:tcBorders>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9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w:t>
            </w:r>
          </w:p>
        </w:tc>
        <w:tc>
          <w:tcPr>
            <w:tcW w:w="6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2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18.3%</w:t>
            </w:r>
            <w:r>
              <w:rPr>
                <w:rFonts w:ascii="Times New Roman" w:cs="Times New Roman" w:eastAsia="Times New Roman" w:hAnsi="Times New Roman"/>
                <w:sz w:val="23"/>
                <w:szCs w:val="23"/>
                <w:b w:val="1"/>
                <w:bCs w:val="1"/>
                <w:color w:val="auto"/>
                <w:vertAlign w:val="superscript"/>
              </w:rPr>
              <w:t>(2)</w:t>
            </w:r>
          </w:p>
        </w:tc>
        <w:tc>
          <w:tcPr>
            <w:tcW w:w="8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12</w:t>
            </w:r>
          </w:p>
        </w:tc>
        <w:tc>
          <w:tcPr>
            <w:tcW w:w="6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060" w:type="dxa"/>
            <w:vAlign w:val="bottom"/>
            <w:tcBorders>
              <w:left w:val="single" w:sz="8" w:color="auto"/>
              <w:right w:val="single" w:sz="8" w:color="auto"/>
            </w:tcBorders>
          </w:tcPr>
          <w:p>
            <w:pPr>
              <w:spacing w:after="0"/>
              <w:rPr>
                <w:sz w:val="20"/>
                <w:szCs w:val="20"/>
                <w:color w:val="auto"/>
              </w:rPr>
            </w:pPr>
          </w:p>
        </w:tc>
        <w:tc>
          <w:tcPr>
            <w:tcW w:w="23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CO</w:t>
            </w:r>
          </w:p>
        </w:tc>
        <w:tc>
          <w:tcPr>
            <w:tcW w:w="8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1060" w:type="dxa"/>
            <w:vAlign w:val="bottom"/>
            <w:tcBorders>
              <w:left w:val="single" w:sz="8" w:color="auto"/>
              <w:bottom w:val="single" w:sz="8" w:color="auto"/>
              <w:right w:val="single" w:sz="8" w:color="auto"/>
            </w:tcBorders>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9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7659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6593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40" w:right="400" w:hanging="332"/>
        <w:spacing w:after="0" w:line="282" w:lineRule="auto"/>
        <w:tabs>
          <w:tab w:leader="none" w:pos="34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190,232,260 Class A common shares in the form of 9,511,613 ADSs (excluding 45,638 ADSs contracted for sales as of December 31, 2020, which were all settled as of the date hereof) held by SAIF IV Healthcare (BVI) Limited, as further disclosed in Item 4.</w:t>
      </w:r>
    </w:p>
    <w:p>
      <w:pPr>
        <w:spacing w:after="0" w:line="161" w:lineRule="exact"/>
        <w:rPr>
          <w:rFonts w:ascii="Times New Roman" w:cs="Times New Roman" w:eastAsia="Times New Roman" w:hAnsi="Times New Roman"/>
          <w:sz w:val="18"/>
          <w:szCs w:val="18"/>
          <w:color w:val="auto"/>
        </w:rPr>
      </w:pPr>
    </w:p>
    <w:p>
      <w:pPr>
        <w:ind w:left="340" w:right="100" w:hanging="332"/>
        <w:spacing w:after="0" w:line="258" w:lineRule="auto"/>
        <w:tabs>
          <w:tab w:leader="none" w:pos="34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1,039,805,653 common shares issued and outstanding as of March 31, 2020, including (i) 889,214,446 Class A common shares, and (ii) 150,591,207 Class B common shares, as reported in the Issuer’s annual report on Form 20-F for the fiscal year ended December 31, 2019. In respect of all matters subject to a shareholders’ vote, each Class A common share is entitled to one vote, and each Class B common share is entitled to 15 votes, voting together as a single class. Each Class B common share is convertible into one Class A common share at any time at the option of the holder thereof. Class A common shares are not convertible into Class B common shares under any circumstances.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532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8"/>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44473E105**</w:t>
            </w:r>
          </w:p>
        </w:tc>
        <w:tc>
          <w:tcPr>
            <w:tcW w:w="840" w:type="dxa"/>
            <w:vAlign w:val="bottom"/>
          </w:tcPr>
          <w:p>
            <w:pPr>
              <w:spacing w:after="0"/>
              <w:rPr>
                <w:sz w:val="20"/>
                <w:szCs w:val="20"/>
                <w:color w:val="auto"/>
              </w:rPr>
            </w:pPr>
          </w:p>
        </w:tc>
        <w:tc>
          <w:tcPr>
            <w:tcW w:w="29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13G</w:t>
            </w: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6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2"/>
          </w:tcPr>
          <w:p>
            <w:pPr>
              <w:spacing w:after="0"/>
              <w:rPr>
                <w:sz w:val="18"/>
                <w:szCs w:val="18"/>
                <w:color w:val="auto"/>
              </w:rPr>
            </w:pPr>
          </w:p>
        </w:tc>
        <w:tc>
          <w:tcPr>
            <w:tcW w:w="29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3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060" w:type="dxa"/>
            <w:vAlign w:val="bottom"/>
            <w:tcBorders>
              <w:left w:val="single" w:sz="8" w:color="auto"/>
              <w:right w:val="single" w:sz="8" w:color="auto"/>
            </w:tcBorders>
          </w:tcPr>
          <w:p>
            <w:pPr>
              <w:spacing w:after="0"/>
              <w:rPr>
                <w:sz w:val="20"/>
                <w:szCs w:val="20"/>
                <w:color w:val="auto"/>
              </w:rPr>
            </w:pPr>
          </w:p>
        </w:tc>
        <w:tc>
          <w:tcPr>
            <w:tcW w:w="23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SAIF Partners IV L.P.</w:t>
            </w:r>
          </w:p>
        </w:tc>
        <w:tc>
          <w:tcPr>
            <w:tcW w:w="8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1060" w:type="dxa"/>
            <w:vAlign w:val="bottom"/>
            <w:tcBorders>
              <w:left w:val="single" w:sz="8" w:color="auto"/>
              <w:bottom w:val="single" w:sz="8" w:color="auto"/>
              <w:right w:val="single" w:sz="8" w:color="auto"/>
            </w:tcBorders>
          </w:tcPr>
          <w:p>
            <w:pPr>
              <w:spacing w:after="0"/>
              <w:rPr>
                <w:sz w:val="8"/>
                <w:szCs w:val="8"/>
                <w:color w:val="auto"/>
              </w:rPr>
            </w:pPr>
          </w:p>
        </w:tc>
        <w:tc>
          <w:tcPr>
            <w:tcW w:w="6140" w:type="dxa"/>
            <w:vAlign w:val="bottom"/>
            <w:tcBorders>
              <w:bottom w:val="single" w:sz="8" w:color="auto"/>
            </w:tcBorders>
            <w:gridSpan w:val="3"/>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w:t>
            </w:r>
          </w:p>
        </w:tc>
        <w:tc>
          <w:tcPr>
            <w:tcW w:w="6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60" w:type="dxa"/>
            <w:vAlign w:val="bottom"/>
            <w:tcBorders>
              <w:left w:val="single" w:sz="8" w:color="auto"/>
              <w:right w:val="single" w:sz="8" w:color="auto"/>
            </w:tcBorders>
          </w:tcPr>
          <w:p>
            <w:pPr>
              <w:spacing w:after="0"/>
              <w:rPr>
                <w:sz w:val="20"/>
                <w:szCs w:val="20"/>
                <w:color w:val="auto"/>
              </w:rPr>
            </w:pPr>
          </w:p>
        </w:tc>
        <w:tc>
          <w:tcPr>
            <w:tcW w:w="2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(SEE INSTRUCTIONS)</w:t>
            </w:r>
          </w:p>
        </w:tc>
        <w:tc>
          <w:tcPr>
            <w:tcW w:w="840" w:type="dxa"/>
            <w:vAlign w:val="bottom"/>
          </w:tcPr>
          <w:p>
            <w:pPr>
              <w:spacing w:after="0"/>
              <w:rPr>
                <w:sz w:val="20"/>
                <w:szCs w:val="20"/>
                <w:color w:val="auto"/>
              </w:rPr>
            </w:pPr>
          </w:p>
        </w:tc>
        <w:tc>
          <w:tcPr>
            <w:tcW w:w="298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(a)</w:t>
            </w:r>
          </w:p>
        </w:tc>
        <w:tc>
          <w:tcPr>
            <w:tcW w:w="680" w:type="dxa"/>
            <w:vAlign w:val="bottom"/>
          </w:tcPr>
          <w:p>
            <w:pPr>
              <w:spacing w:after="0"/>
              <w:rPr>
                <w:sz w:val="20"/>
                <w:szCs w:val="20"/>
                <w:color w:val="auto"/>
              </w:rPr>
            </w:pPr>
          </w:p>
        </w:tc>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w:t>
            </w:r>
          </w:p>
        </w:tc>
        <w:tc>
          <w:tcPr>
            <w:tcW w:w="2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060" w:type="dxa"/>
            <w:vAlign w:val="bottom"/>
            <w:tcBorders>
              <w:left w:val="single" w:sz="8" w:color="auto"/>
              <w:bottom w:val="single" w:sz="8" w:color="auto"/>
              <w:right w:val="single" w:sz="8" w:color="auto"/>
            </w:tcBorders>
          </w:tcPr>
          <w:p>
            <w:pPr>
              <w:spacing w:after="0"/>
              <w:rPr>
                <w:sz w:val="5"/>
                <w:szCs w:val="5"/>
                <w:color w:val="auto"/>
              </w:rPr>
            </w:pPr>
          </w:p>
        </w:tc>
        <w:tc>
          <w:tcPr>
            <w:tcW w:w="23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9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6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1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w:t>
            </w:r>
          </w:p>
        </w:tc>
        <w:tc>
          <w:tcPr>
            <w:tcW w:w="2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8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060" w:type="dxa"/>
            <w:vAlign w:val="bottom"/>
            <w:tcBorders>
              <w:left w:val="single" w:sz="8" w:color="auto"/>
              <w:bottom w:val="single" w:sz="8" w:color="auto"/>
              <w:right w:val="single" w:sz="8" w:color="auto"/>
            </w:tcBorders>
          </w:tcPr>
          <w:p>
            <w:pPr>
              <w:spacing w:after="0"/>
              <w:rPr>
                <w:sz w:val="8"/>
                <w:szCs w:val="8"/>
                <w:color w:val="auto"/>
              </w:rPr>
            </w:pPr>
          </w:p>
        </w:tc>
        <w:tc>
          <w:tcPr>
            <w:tcW w:w="6140" w:type="dxa"/>
            <w:vAlign w:val="bottom"/>
            <w:tcBorders>
              <w:bottom w:val="single" w:sz="8" w:color="auto"/>
            </w:tcBorders>
            <w:gridSpan w:val="3"/>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4</w:t>
            </w:r>
          </w:p>
        </w:tc>
        <w:tc>
          <w:tcPr>
            <w:tcW w:w="6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060" w:type="dxa"/>
            <w:vAlign w:val="bottom"/>
            <w:tcBorders>
              <w:left w:val="single" w:sz="8" w:color="auto"/>
              <w:right w:val="single" w:sz="8" w:color="auto"/>
            </w:tcBorders>
          </w:tcPr>
          <w:p>
            <w:pPr>
              <w:spacing w:after="0"/>
              <w:rPr>
                <w:sz w:val="20"/>
                <w:szCs w:val="20"/>
                <w:color w:val="auto"/>
              </w:rPr>
            </w:pPr>
          </w:p>
        </w:tc>
        <w:tc>
          <w:tcPr>
            <w:tcW w:w="23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8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1060" w:type="dxa"/>
            <w:vAlign w:val="bottom"/>
            <w:tcBorders>
              <w:left w:val="single" w:sz="8" w:color="auto"/>
              <w:bottom w:val="single" w:sz="8" w:color="auto"/>
              <w:right w:val="single" w:sz="8" w:color="auto"/>
            </w:tcBorders>
          </w:tcPr>
          <w:p>
            <w:pPr>
              <w:spacing w:after="0"/>
              <w:rPr>
                <w:sz w:val="5"/>
                <w:szCs w:val="5"/>
                <w:color w:val="auto"/>
              </w:rPr>
            </w:pPr>
          </w:p>
        </w:tc>
        <w:tc>
          <w:tcPr>
            <w:tcW w:w="23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9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6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1060" w:type="dxa"/>
            <w:vAlign w:val="bottom"/>
            <w:tcBorders>
              <w:lef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5</w:t>
            </w:r>
          </w:p>
        </w:tc>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380" w:type="dxa"/>
            <w:vAlign w:val="bottom"/>
            <w:tcBorders>
              <w:left w:val="single" w:sz="8" w:color="auto"/>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NUMBER OF SHARES</w:t>
            </w:r>
          </w:p>
        </w:tc>
        <w:tc>
          <w:tcPr>
            <w:tcW w:w="840" w:type="dxa"/>
            <w:vAlign w:val="bottom"/>
            <w:tcBorders>
              <w:bottom w:val="single" w:sz="8" w:color="auto"/>
              <w:right w:val="single" w:sz="8" w:color="auto"/>
            </w:tcBorders>
          </w:tcPr>
          <w:p>
            <w:pPr>
              <w:spacing w:after="0"/>
              <w:rPr>
                <w:sz w:val="20"/>
                <w:szCs w:val="20"/>
                <w:color w:val="auto"/>
              </w:rPr>
            </w:pPr>
          </w:p>
        </w:tc>
        <w:tc>
          <w:tcPr>
            <w:tcW w:w="2980" w:type="dxa"/>
            <w:vAlign w:val="bottom"/>
            <w:tcBorders>
              <w:bottom w:val="single" w:sz="8" w:color="auto"/>
            </w:tcBorders>
          </w:tcPr>
          <w:p>
            <w:pPr>
              <w:ind w:left="100"/>
              <w:spacing w:after="0" w:line="239" w:lineRule="exact"/>
              <w:rPr>
                <w:sz w:val="20"/>
                <w:szCs w:val="20"/>
                <w:color w:val="auto"/>
              </w:rPr>
            </w:pPr>
            <w:r>
              <w:rPr>
                <w:rFonts w:ascii="Times New Roman" w:cs="Times New Roman" w:eastAsia="Times New Roman" w:hAnsi="Times New Roman"/>
                <w:sz w:val="18"/>
                <w:szCs w:val="18"/>
                <w:b w:val="1"/>
                <w:bCs w:val="1"/>
                <w:color w:val="auto"/>
              </w:rPr>
              <w:t>190,232,260</w:t>
            </w:r>
            <w:r>
              <w:rPr>
                <w:rFonts w:ascii="Times New Roman" w:cs="Times New Roman" w:eastAsia="Times New Roman" w:hAnsi="Times New Roman"/>
                <w:sz w:val="23"/>
                <w:szCs w:val="23"/>
                <w:b w:val="1"/>
                <w:bCs w:val="1"/>
                <w:color w:val="auto"/>
                <w:vertAlign w:val="superscript"/>
              </w:rPr>
              <w:t>(1)</w:t>
            </w:r>
          </w:p>
        </w:tc>
        <w:tc>
          <w:tcPr>
            <w:tcW w:w="6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380" w:type="dxa"/>
            <w:vAlign w:val="bottom"/>
            <w:tcBorders>
              <w:left w:val="single" w:sz="8" w:color="auto"/>
              <w:right w:val="single" w:sz="8" w:color="auto"/>
            </w:tcBorders>
            <w:gridSpan w:val="2"/>
            <w:vMerge w:val="continue"/>
          </w:tcPr>
          <w:p>
            <w:pPr>
              <w:spacing w:after="0"/>
              <w:rPr>
                <w:sz w:val="15"/>
                <w:szCs w:val="15"/>
                <w:color w:val="auto"/>
              </w:rPr>
            </w:pPr>
          </w:p>
        </w:tc>
        <w:tc>
          <w:tcPr>
            <w:tcW w:w="840" w:type="dxa"/>
            <w:vAlign w:val="bottom"/>
            <w:tcBorders>
              <w:right w:val="single" w:sz="8" w:color="auto"/>
            </w:tcBorders>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rPr>
              <w:t>6</w:t>
            </w:r>
          </w:p>
        </w:tc>
        <w:tc>
          <w:tcPr>
            <w:tcW w:w="2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3380" w:type="dxa"/>
            <w:vAlign w:val="bottom"/>
            <w:tcBorders>
              <w:left w:val="single" w:sz="8" w:color="auto"/>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BENEFICIALLY</w:t>
            </w:r>
          </w:p>
        </w:tc>
        <w:tc>
          <w:tcPr>
            <w:tcW w:w="840" w:type="dxa"/>
            <w:vAlign w:val="bottom"/>
            <w:tcBorders>
              <w:right w:val="single" w:sz="8" w:color="auto"/>
            </w:tcBorders>
            <w:vMerge w:val="continue"/>
          </w:tcPr>
          <w:p>
            <w:pPr>
              <w:spacing w:after="0"/>
              <w:rPr>
                <w:sz w:val="9"/>
                <w:szCs w:val="9"/>
                <w:color w:val="auto"/>
              </w:rPr>
            </w:pPr>
          </w:p>
        </w:tc>
        <w:tc>
          <w:tcPr>
            <w:tcW w:w="298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3380" w:type="dxa"/>
            <w:vAlign w:val="bottom"/>
            <w:tcBorders>
              <w:left w:val="single" w:sz="8" w:color="auto"/>
              <w:right w:val="single" w:sz="8" w:color="auto"/>
            </w:tcBorders>
            <w:gridSpan w:val="2"/>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2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0</w:t>
            </w: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380" w:type="dxa"/>
            <w:vAlign w:val="bottom"/>
            <w:tcBorders>
              <w:left w:val="single" w:sz="8" w:color="auto"/>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OWNED BY EACH</w:t>
            </w:r>
          </w:p>
        </w:tc>
        <w:tc>
          <w:tcPr>
            <w:tcW w:w="840" w:type="dxa"/>
            <w:vAlign w:val="bottom"/>
            <w:tcBorders>
              <w:bottom w:val="single" w:sz="8" w:color="auto"/>
              <w:right w:val="single" w:sz="8" w:color="auto"/>
            </w:tcBorders>
          </w:tcPr>
          <w:p>
            <w:pPr>
              <w:spacing w:after="0"/>
              <w:rPr>
                <w:sz w:val="10"/>
                <w:szCs w:val="10"/>
                <w:color w:val="auto"/>
              </w:rPr>
            </w:pPr>
          </w:p>
        </w:tc>
        <w:tc>
          <w:tcPr>
            <w:tcW w:w="2980" w:type="dxa"/>
            <w:vAlign w:val="bottom"/>
            <w:tcBorders>
              <w:bottom w:val="single" w:sz="8" w:color="auto"/>
            </w:tcBorders>
            <w:vMerge w:val="continue"/>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3380" w:type="dxa"/>
            <w:vAlign w:val="bottom"/>
            <w:tcBorders>
              <w:left w:val="single" w:sz="8" w:color="auto"/>
              <w:right w:val="single" w:sz="8" w:color="auto"/>
            </w:tcBorders>
            <w:gridSpan w:val="2"/>
            <w:vMerge w:val="continue"/>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29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33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REPORTING PERSON</w:t>
            </w:r>
          </w:p>
        </w:tc>
        <w:tc>
          <w:tcPr>
            <w:tcW w:w="84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7</w:t>
            </w:r>
          </w:p>
        </w:tc>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WITH</w:t>
            </w:r>
          </w:p>
        </w:tc>
        <w:tc>
          <w:tcPr>
            <w:tcW w:w="2320" w:type="dxa"/>
            <w:vAlign w:val="bottom"/>
            <w:tcBorders>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2980" w:type="dxa"/>
            <w:vAlign w:val="bottom"/>
            <w:tcBorders>
              <w:bottom w:val="single" w:sz="8" w:color="auto"/>
            </w:tcBorders>
          </w:tcPr>
          <w:p>
            <w:pPr>
              <w:ind w:left="100"/>
              <w:spacing w:after="0" w:line="239" w:lineRule="exact"/>
              <w:rPr>
                <w:sz w:val="20"/>
                <w:szCs w:val="20"/>
                <w:color w:val="auto"/>
              </w:rPr>
            </w:pPr>
            <w:r>
              <w:rPr>
                <w:rFonts w:ascii="Times New Roman" w:cs="Times New Roman" w:eastAsia="Times New Roman" w:hAnsi="Times New Roman"/>
                <w:sz w:val="18"/>
                <w:szCs w:val="18"/>
                <w:b w:val="1"/>
                <w:bCs w:val="1"/>
                <w:color w:val="auto"/>
              </w:rPr>
              <w:t>190,232,260</w:t>
            </w:r>
            <w:r>
              <w:rPr>
                <w:rFonts w:ascii="Times New Roman" w:cs="Times New Roman" w:eastAsia="Times New Roman" w:hAnsi="Times New Roman"/>
                <w:sz w:val="23"/>
                <w:szCs w:val="23"/>
                <w:b w:val="1"/>
                <w:bCs w:val="1"/>
                <w:color w:val="auto"/>
                <w:vertAlign w:val="superscript"/>
              </w:rPr>
              <w:t>(1)</w:t>
            </w:r>
          </w:p>
        </w:tc>
        <w:tc>
          <w:tcPr>
            <w:tcW w:w="6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1060" w:type="dxa"/>
            <w:vAlign w:val="bottom"/>
            <w:tcBorders>
              <w:lef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8</w:t>
            </w:r>
          </w:p>
        </w:tc>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060" w:type="dxa"/>
            <w:vAlign w:val="bottom"/>
            <w:tcBorders>
              <w:left w:val="single" w:sz="8" w:color="auto"/>
              <w:bottom w:val="single" w:sz="8" w:color="auto"/>
            </w:tcBorders>
          </w:tcPr>
          <w:p>
            <w:pPr>
              <w:spacing w:after="0"/>
              <w:rPr>
                <w:sz w:val="20"/>
                <w:szCs w:val="20"/>
                <w:color w:val="auto"/>
              </w:rPr>
            </w:pPr>
          </w:p>
        </w:tc>
        <w:tc>
          <w:tcPr>
            <w:tcW w:w="232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29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0</w:t>
            </w:r>
          </w:p>
        </w:tc>
        <w:tc>
          <w:tcPr>
            <w:tcW w:w="6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1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9</w:t>
            </w:r>
          </w:p>
        </w:tc>
        <w:tc>
          <w:tcPr>
            <w:tcW w:w="6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060" w:type="dxa"/>
            <w:vAlign w:val="bottom"/>
            <w:tcBorders>
              <w:left w:val="single" w:sz="8" w:color="auto"/>
              <w:right w:val="single" w:sz="8" w:color="auto"/>
            </w:tcBorders>
          </w:tcPr>
          <w:p>
            <w:pPr>
              <w:spacing w:after="0"/>
              <w:rPr>
                <w:sz w:val="18"/>
                <w:szCs w:val="18"/>
                <w:color w:val="auto"/>
              </w:rPr>
            </w:pPr>
          </w:p>
        </w:tc>
        <w:tc>
          <w:tcPr>
            <w:tcW w:w="2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REPORTING PERSON</w:t>
            </w:r>
          </w:p>
        </w:tc>
        <w:tc>
          <w:tcPr>
            <w:tcW w:w="8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7"/>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2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190,232,260</w:t>
            </w:r>
            <w:r>
              <w:rPr>
                <w:rFonts w:ascii="Times New Roman" w:cs="Times New Roman" w:eastAsia="Times New Roman" w:hAnsi="Times New Roman"/>
                <w:sz w:val="23"/>
                <w:szCs w:val="23"/>
                <w:b w:val="1"/>
                <w:bCs w:val="1"/>
                <w:color w:val="auto"/>
                <w:vertAlign w:val="superscript"/>
              </w:rPr>
              <w:t>(1)</w:t>
            </w:r>
          </w:p>
        </w:tc>
        <w:tc>
          <w:tcPr>
            <w:tcW w:w="8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10</w:t>
            </w:r>
          </w:p>
        </w:tc>
        <w:tc>
          <w:tcPr>
            <w:tcW w:w="6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(9)</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60" w:type="dxa"/>
            <w:vAlign w:val="bottom"/>
            <w:tcBorders>
              <w:left w:val="single" w:sz="8" w:color="auto"/>
              <w:right w:val="single" w:sz="8" w:color="auto"/>
            </w:tcBorders>
          </w:tcPr>
          <w:p>
            <w:pPr>
              <w:spacing w:after="0"/>
              <w:rPr>
                <w:sz w:val="20"/>
                <w:szCs w:val="20"/>
                <w:color w:val="auto"/>
              </w:rPr>
            </w:pPr>
          </w:p>
        </w:tc>
        <w:tc>
          <w:tcPr>
            <w:tcW w:w="6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EXCLUDES CERTAIN SHARES (SEE INSTRUCTIONS)</w:t>
            </w: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1060" w:type="dxa"/>
            <w:vAlign w:val="bottom"/>
            <w:tcBorders>
              <w:left w:val="single" w:sz="8" w:color="auto"/>
              <w:bottom w:val="single" w:sz="8" w:color="auto"/>
              <w:right w:val="single" w:sz="8" w:color="auto"/>
            </w:tcBorders>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9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w:t>
            </w:r>
          </w:p>
        </w:tc>
        <w:tc>
          <w:tcPr>
            <w:tcW w:w="6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2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18.3%</w:t>
            </w:r>
            <w:r>
              <w:rPr>
                <w:rFonts w:ascii="Times New Roman" w:cs="Times New Roman" w:eastAsia="Times New Roman" w:hAnsi="Times New Roman"/>
                <w:sz w:val="23"/>
                <w:szCs w:val="23"/>
                <w:b w:val="1"/>
                <w:bCs w:val="1"/>
                <w:color w:val="auto"/>
                <w:vertAlign w:val="superscript"/>
              </w:rPr>
              <w:t>(2)</w:t>
            </w:r>
          </w:p>
        </w:tc>
        <w:tc>
          <w:tcPr>
            <w:tcW w:w="8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12</w:t>
            </w:r>
          </w:p>
        </w:tc>
        <w:tc>
          <w:tcPr>
            <w:tcW w:w="6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060" w:type="dxa"/>
            <w:vAlign w:val="bottom"/>
            <w:tcBorders>
              <w:left w:val="single" w:sz="8" w:color="auto"/>
              <w:right w:val="single" w:sz="8" w:color="auto"/>
            </w:tcBorders>
          </w:tcPr>
          <w:p>
            <w:pPr>
              <w:spacing w:after="0"/>
              <w:rPr>
                <w:sz w:val="20"/>
                <w:szCs w:val="20"/>
                <w:color w:val="auto"/>
              </w:rPr>
            </w:pPr>
          </w:p>
        </w:tc>
        <w:tc>
          <w:tcPr>
            <w:tcW w:w="23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PN</w:t>
            </w:r>
          </w:p>
        </w:tc>
        <w:tc>
          <w:tcPr>
            <w:tcW w:w="8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1060" w:type="dxa"/>
            <w:vAlign w:val="bottom"/>
            <w:tcBorders>
              <w:left w:val="single" w:sz="8" w:color="auto"/>
              <w:bottom w:val="single" w:sz="8" w:color="auto"/>
              <w:right w:val="single" w:sz="8" w:color="auto"/>
            </w:tcBorders>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9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7659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40" w:right="300" w:hanging="332"/>
        <w:spacing w:after="0" w:line="266" w:lineRule="auto"/>
        <w:tabs>
          <w:tab w:leader="none" w:pos="34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190,232,260 Class A common shares in the form of 9,511,613 ADSs (excluding 45,638 ADSs contracted for sales as of December 31, 2020, which were all settled as of the date hereof) held by SAIF IV Healthcare (BVI) Limited, which is wholly owned by SAIF Partners IV L.P., as further disclosed in Item 4.</w:t>
      </w:r>
    </w:p>
    <w:p>
      <w:pPr>
        <w:spacing w:after="0" w:line="175" w:lineRule="exact"/>
        <w:rPr>
          <w:rFonts w:ascii="Times New Roman" w:cs="Times New Roman" w:eastAsia="Times New Roman" w:hAnsi="Times New Roman"/>
          <w:sz w:val="18"/>
          <w:szCs w:val="18"/>
          <w:color w:val="auto"/>
        </w:rPr>
      </w:pPr>
    </w:p>
    <w:p>
      <w:pPr>
        <w:ind w:left="340" w:right="100" w:hanging="332"/>
        <w:spacing w:after="0" w:line="258" w:lineRule="auto"/>
        <w:tabs>
          <w:tab w:leader="none" w:pos="34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1,039,805,653 common shares issued and outstanding as of March 31, 2020, including (i) 889,214,446 Class A common shares, and (ii) 150,591,207 Class B common shares, as reported in the Issuer’s annual report on Form 20-F for the fiscal year ended December 31, 2019. In respect of all matters subject to a shareholders’ vote, each Class A common share is entitled to one vote, and each Class B common share is entitled to 15 votes, voting together as a single class. Each Class B common share is convertible into one Class A common share at any time at the option of the holder thereof. Class A common shares are not convertible into Class B common shares under any circumstances.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532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8"/>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44473E105**</w:t>
            </w:r>
          </w:p>
        </w:tc>
        <w:tc>
          <w:tcPr>
            <w:tcW w:w="840" w:type="dxa"/>
            <w:vAlign w:val="bottom"/>
          </w:tcPr>
          <w:p>
            <w:pPr>
              <w:spacing w:after="0"/>
              <w:rPr>
                <w:sz w:val="20"/>
                <w:szCs w:val="20"/>
                <w:color w:val="auto"/>
              </w:rPr>
            </w:pPr>
          </w:p>
        </w:tc>
        <w:tc>
          <w:tcPr>
            <w:tcW w:w="29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13G</w:t>
            </w: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6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2"/>
          </w:tcPr>
          <w:p>
            <w:pPr>
              <w:spacing w:after="0"/>
              <w:rPr>
                <w:sz w:val="18"/>
                <w:szCs w:val="18"/>
                <w:color w:val="auto"/>
              </w:rPr>
            </w:pPr>
          </w:p>
        </w:tc>
        <w:tc>
          <w:tcPr>
            <w:tcW w:w="29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3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060" w:type="dxa"/>
            <w:vAlign w:val="bottom"/>
            <w:tcBorders>
              <w:left w:val="single" w:sz="8" w:color="auto"/>
              <w:right w:val="single" w:sz="8" w:color="auto"/>
            </w:tcBorders>
          </w:tcPr>
          <w:p>
            <w:pPr>
              <w:spacing w:after="0"/>
              <w:rPr>
                <w:sz w:val="20"/>
                <w:szCs w:val="20"/>
                <w:color w:val="auto"/>
              </w:rPr>
            </w:pPr>
          </w:p>
        </w:tc>
        <w:tc>
          <w:tcPr>
            <w:tcW w:w="23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SAIF IV GP, L.P.</w:t>
            </w:r>
          </w:p>
        </w:tc>
        <w:tc>
          <w:tcPr>
            <w:tcW w:w="8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1060" w:type="dxa"/>
            <w:vAlign w:val="bottom"/>
            <w:tcBorders>
              <w:left w:val="single" w:sz="8" w:color="auto"/>
              <w:bottom w:val="single" w:sz="8" w:color="auto"/>
              <w:right w:val="single" w:sz="8" w:color="auto"/>
            </w:tcBorders>
          </w:tcPr>
          <w:p>
            <w:pPr>
              <w:spacing w:after="0"/>
              <w:rPr>
                <w:sz w:val="8"/>
                <w:szCs w:val="8"/>
                <w:color w:val="auto"/>
              </w:rPr>
            </w:pPr>
          </w:p>
        </w:tc>
        <w:tc>
          <w:tcPr>
            <w:tcW w:w="6140" w:type="dxa"/>
            <w:vAlign w:val="bottom"/>
            <w:tcBorders>
              <w:bottom w:val="single" w:sz="8" w:color="auto"/>
            </w:tcBorders>
            <w:gridSpan w:val="3"/>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w:t>
            </w:r>
          </w:p>
        </w:tc>
        <w:tc>
          <w:tcPr>
            <w:tcW w:w="6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60" w:type="dxa"/>
            <w:vAlign w:val="bottom"/>
            <w:tcBorders>
              <w:left w:val="single" w:sz="8" w:color="auto"/>
              <w:right w:val="single" w:sz="8" w:color="auto"/>
            </w:tcBorders>
          </w:tcPr>
          <w:p>
            <w:pPr>
              <w:spacing w:after="0"/>
              <w:rPr>
                <w:sz w:val="20"/>
                <w:szCs w:val="20"/>
                <w:color w:val="auto"/>
              </w:rPr>
            </w:pPr>
          </w:p>
        </w:tc>
        <w:tc>
          <w:tcPr>
            <w:tcW w:w="2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(SEE INSTRUCTIONS)</w:t>
            </w:r>
          </w:p>
        </w:tc>
        <w:tc>
          <w:tcPr>
            <w:tcW w:w="840" w:type="dxa"/>
            <w:vAlign w:val="bottom"/>
          </w:tcPr>
          <w:p>
            <w:pPr>
              <w:spacing w:after="0"/>
              <w:rPr>
                <w:sz w:val="20"/>
                <w:szCs w:val="20"/>
                <w:color w:val="auto"/>
              </w:rPr>
            </w:pPr>
          </w:p>
        </w:tc>
        <w:tc>
          <w:tcPr>
            <w:tcW w:w="298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(a)</w:t>
            </w:r>
          </w:p>
        </w:tc>
        <w:tc>
          <w:tcPr>
            <w:tcW w:w="680" w:type="dxa"/>
            <w:vAlign w:val="bottom"/>
          </w:tcPr>
          <w:p>
            <w:pPr>
              <w:spacing w:after="0"/>
              <w:rPr>
                <w:sz w:val="20"/>
                <w:szCs w:val="20"/>
                <w:color w:val="auto"/>
              </w:rPr>
            </w:pPr>
          </w:p>
        </w:tc>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w:t>
            </w:r>
          </w:p>
        </w:tc>
        <w:tc>
          <w:tcPr>
            <w:tcW w:w="2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060" w:type="dxa"/>
            <w:vAlign w:val="bottom"/>
            <w:tcBorders>
              <w:left w:val="single" w:sz="8" w:color="auto"/>
              <w:bottom w:val="single" w:sz="8" w:color="auto"/>
              <w:right w:val="single" w:sz="8" w:color="auto"/>
            </w:tcBorders>
          </w:tcPr>
          <w:p>
            <w:pPr>
              <w:spacing w:after="0"/>
              <w:rPr>
                <w:sz w:val="5"/>
                <w:szCs w:val="5"/>
                <w:color w:val="auto"/>
              </w:rPr>
            </w:pPr>
          </w:p>
        </w:tc>
        <w:tc>
          <w:tcPr>
            <w:tcW w:w="23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9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6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1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w:t>
            </w:r>
          </w:p>
        </w:tc>
        <w:tc>
          <w:tcPr>
            <w:tcW w:w="2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8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060" w:type="dxa"/>
            <w:vAlign w:val="bottom"/>
            <w:tcBorders>
              <w:left w:val="single" w:sz="8" w:color="auto"/>
              <w:bottom w:val="single" w:sz="8" w:color="auto"/>
              <w:right w:val="single" w:sz="8" w:color="auto"/>
            </w:tcBorders>
          </w:tcPr>
          <w:p>
            <w:pPr>
              <w:spacing w:after="0"/>
              <w:rPr>
                <w:sz w:val="8"/>
                <w:szCs w:val="8"/>
                <w:color w:val="auto"/>
              </w:rPr>
            </w:pPr>
          </w:p>
        </w:tc>
        <w:tc>
          <w:tcPr>
            <w:tcW w:w="6140" w:type="dxa"/>
            <w:vAlign w:val="bottom"/>
            <w:tcBorders>
              <w:bottom w:val="single" w:sz="8" w:color="auto"/>
            </w:tcBorders>
            <w:gridSpan w:val="3"/>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4</w:t>
            </w:r>
          </w:p>
        </w:tc>
        <w:tc>
          <w:tcPr>
            <w:tcW w:w="6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060" w:type="dxa"/>
            <w:vAlign w:val="bottom"/>
            <w:tcBorders>
              <w:left w:val="single" w:sz="8" w:color="auto"/>
              <w:right w:val="single" w:sz="8" w:color="auto"/>
            </w:tcBorders>
          </w:tcPr>
          <w:p>
            <w:pPr>
              <w:spacing w:after="0"/>
              <w:rPr>
                <w:sz w:val="20"/>
                <w:szCs w:val="20"/>
                <w:color w:val="auto"/>
              </w:rPr>
            </w:pPr>
          </w:p>
        </w:tc>
        <w:tc>
          <w:tcPr>
            <w:tcW w:w="23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8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1060" w:type="dxa"/>
            <w:vAlign w:val="bottom"/>
            <w:tcBorders>
              <w:left w:val="single" w:sz="8" w:color="auto"/>
              <w:bottom w:val="single" w:sz="8" w:color="auto"/>
              <w:right w:val="single" w:sz="8" w:color="auto"/>
            </w:tcBorders>
          </w:tcPr>
          <w:p>
            <w:pPr>
              <w:spacing w:after="0"/>
              <w:rPr>
                <w:sz w:val="5"/>
                <w:szCs w:val="5"/>
                <w:color w:val="auto"/>
              </w:rPr>
            </w:pPr>
          </w:p>
        </w:tc>
        <w:tc>
          <w:tcPr>
            <w:tcW w:w="23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9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6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1060" w:type="dxa"/>
            <w:vAlign w:val="bottom"/>
            <w:tcBorders>
              <w:lef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5</w:t>
            </w:r>
          </w:p>
        </w:tc>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380" w:type="dxa"/>
            <w:vAlign w:val="bottom"/>
            <w:tcBorders>
              <w:left w:val="single" w:sz="8" w:color="auto"/>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NUMBER OF SHARES</w:t>
            </w:r>
          </w:p>
        </w:tc>
        <w:tc>
          <w:tcPr>
            <w:tcW w:w="840" w:type="dxa"/>
            <w:vAlign w:val="bottom"/>
            <w:tcBorders>
              <w:bottom w:val="single" w:sz="8" w:color="auto"/>
              <w:right w:val="single" w:sz="8" w:color="auto"/>
            </w:tcBorders>
          </w:tcPr>
          <w:p>
            <w:pPr>
              <w:spacing w:after="0"/>
              <w:rPr>
                <w:sz w:val="20"/>
                <w:szCs w:val="20"/>
                <w:color w:val="auto"/>
              </w:rPr>
            </w:pPr>
          </w:p>
        </w:tc>
        <w:tc>
          <w:tcPr>
            <w:tcW w:w="2980" w:type="dxa"/>
            <w:vAlign w:val="bottom"/>
            <w:tcBorders>
              <w:bottom w:val="single" w:sz="8" w:color="auto"/>
            </w:tcBorders>
          </w:tcPr>
          <w:p>
            <w:pPr>
              <w:ind w:left="100"/>
              <w:spacing w:after="0" w:line="239" w:lineRule="exact"/>
              <w:rPr>
                <w:sz w:val="20"/>
                <w:szCs w:val="20"/>
                <w:color w:val="auto"/>
              </w:rPr>
            </w:pPr>
            <w:r>
              <w:rPr>
                <w:rFonts w:ascii="Times New Roman" w:cs="Times New Roman" w:eastAsia="Times New Roman" w:hAnsi="Times New Roman"/>
                <w:sz w:val="18"/>
                <w:szCs w:val="18"/>
                <w:b w:val="1"/>
                <w:bCs w:val="1"/>
                <w:color w:val="auto"/>
              </w:rPr>
              <w:t>190,232,260</w:t>
            </w:r>
            <w:r>
              <w:rPr>
                <w:rFonts w:ascii="Times New Roman" w:cs="Times New Roman" w:eastAsia="Times New Roman" w:hAnsi="Times New Roman"/>
                <w:sz w:val="23"/>
                <w:szCs w:val="23"/>
                <w:b w:val="1"/>
                <w:bCs w:val="1"/>
                <w:color w:val="auto"/>
                <w:vertAlign w:val="superscript"/>
              </w:rPr>
              <w:t>(1)</w:t>
            </w:r>
          </w:p>
        </w:tc>
        <w:tc>
          <w:tcPr>
            <w:tcW w:w="6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380" w:type="dxa"/>
            <w:vAlign w:val="bottom"/>
            <w:tcBorders>
              <w:left w:val="single" w:sz="8" w:color="auto"/>
              <w:right w:val="single" w:sz="8" w:color="auto"/>
            </w:tcBorders>
            <w:gridSpan w:val="2"/>
            <w:vMerge w:val="continue"/>
          </w:tcPr>
          <w:p>
            <w:pPr>
              <w:spacing w:after="0"/>
              <w:rPr>
                <w:sz w:val="15"/>
                <w:szCs w:val="15"/>
                <w:color w:val="auto"/>
              </w:rPr>
            </w:pPr>
          </w:p>
        </w:tc>
        <w:tc>
          <w:tcPr>
            <w:tcW w:w="840" w:type="dxa"/>
            <w:vAlign w:val="bottom"/>
            <w:tcBorders>
              <w:right w:val="single" w:sz="8" w:color="auto"/>
            </w:tcBorders>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rPr>
              <w:t>6</w:t>
            </w:r>
          </w:p>
        </w:tc>
        <w:tc>
          <w:tcPr>
            <w:tcW w:w="2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3380" w:type="dxa"/>
            <w:vAlign w:val="bottom"/>
            <w:tcBorders>
              <w:left w:val="single" w:sz="8" w:color="auto"/>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BENEFICIALLY</w:t>
            </w:r>
          </w:p>
        </w:tc>
        <w:tc>
          <w:tcPr>
            <w:tcW w:w="840" w:type="dxa"/>
            <w:vAlign w:val="bottom"/>
            <w:tcBorders>
              <w:right w:val="single" w:sz="8" w:color="auto"/>
            </w:tcBorders>
            <w:vMerge w:val="continue"/>
          </w:tcPr>
          <w:p>
            <w:pPr>
              <w:spacing w:after="0"/>
              <w:rPr>
                <w:sz w:val="9"/>
                <w:szCs w:val="9"/>
                <w:color w:val="auto"/>
              </w:rPr>
            </w:pPr>
          </w:p>
        </w:tc>
        <w:tc>
          <w:tcPr>
            <w:tcW w:w="298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3380" w:type="dxa"/>
            <w:vAlign w:val="bottom"/>
            <w:tcBorders>
              <w:left w:val="single" w:sz="8" w:color="auto"/>
              <w:right w:val="single" w:sz="8" w:color="auto"/>
            </w:tcBorders>
            <w:gridSpan w:val="2"/>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2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0</w:t>
            </w: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380" w:type="dxa"/>
            <w:vAlign w:val="bottom"/>
            <w:tcBorders>
              <w:left w:val="single" w:sz="8" w:color="auto"/>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OWNED BY EACH</w:t>
            </w:r>
          </w:p>
        </w:tc>
        <w:tc>
          <w:tcPr>
            <w:tcW w:w="840" w:type="dxa"/>
            <w:vAlign w:val="bottom"/>
            <w:tcBorders>
              <w:bottom w:val="single" w:sz="8" w:color="auto"/>
              <w:right w:val="single" w:sz="8" w:color="auto"/>
            </w:tcBorders>
          </w:tcPr>
          <w:p>
            <w:pPr>
              <w:spacing w:after="0"/>
              <w:rPr>
                <w:sz w:val="10"/>
                <w:szCs w:val="10"/>
                <w:color w:val="auto"/>
              </w:rPr>
            </w:pPr>
          </w:p>
        </w:tc>
        <w:tc>
          <w:tcPr>
            <w:tcW w:w="2980" w:type="dxa"/>
            <w:vAlign w:val="bottom"/>
            <w:tcBorders>
              <w:bottom w:val="single" w:sz="8" w:color="auto"/>
            </w:tcBorders>
            <w:vMerge w:val="continue"/>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3380" w:type="dxa"/>
            <w:vAlign w:val="bottom"/>
            <w:tcBorders>
              <w:left w:val="single" w:sz="8" w:color="auto"/>
              <w:right w:val="single" w:sz="8" w:color="auto"/>
            </w:tcBorders>
            <w:gridSpan w:val="2"/>
            <w:vMerge w:val="continue"/>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29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33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REPORTING PERSON</w:t>
            </w:r>
          </w:p>
        </w:tc>
        <w:tc>
          <w:tcPr>
            <w:tcW w:w="84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7</w:t>
            </w:r>
          </w:p>
        </w:tc>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WITH</w:t>
            </w:r>
          </w:p>
        </w:tc>
        <w:tc>
          <w:tcPr>
            <w:tcW w:w="2320" w:type="dxa"/>
            <w:vAlign w:val="bottom"/>
            <w:tcBorders>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2980" w:type="dxa"/>
            <w:vAlign w:val="bottom"/>
            <w:tcBorders>
              <w:bottom w:val="single" w:sz="8" w:color="auto"/>
            </w:tcBorders>
          </w:tcPr>
          <w:p>
            <w:pPr>
              <w:ind w:left="100"/>
              <w:spacing w:after="0" w:line="239" w:lineRule="exact"/>
              <w:rPr>
                <w:sz w:val="20"/>
                <w:szCs w:val="20"/>
                <w:color w:val="auto"/>
              </w:rPr>
            </w:pPr>
            <w:r>
              <w:rPr>
                <w:rFonts w:ascii="Times New Roman" w:cs="Times New Roman" w:eastAsia="Times New Roman" w:hAnsi="Times New Roman"/>
                <w:sz w:val="18"/>
                <w:szCs w:val="18"/>
                <w:b w:val="1"/>
                <w:bCs w:val="1"/>
                <w:color w:val="auto"/>
              </w:rPr>
              <w:t>190,232,260</w:t>
            </w:r>
            <w:r>
              <w:rPr>
                <w:rFonts w:ascii="Times New Roman" w:cs="Times New Roman" w:eastAsia="Times New Roman" w:hAnsi="Times New Roman"/>
                <w:sz w:val="23"/>
                <w:szCs w:val="23"/>
                <w:b w:val="1"/>
                <w:bCs w:val="1"/>
                <w:color w:val="auto"/>
                <w:vertAlign w:val="superscript"/>
              </w:rPr>
              <w:t>(1)</w:t>
            </w:r>
          </w:p>
        </w:tc>
        <w:tc>
          <w:tcPr>
            <w:tcW w:w="6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1060" w:type="dxa"/>
            <w:vAlign w:val="bottom"/>
            <w:tcBorders>
              <w:lef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8</w:t>
            </w:r>
          </w:p>
        </w:tc>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060" w:type="dxa"/>
            <w:vAlign w:val="bottom"/>
            <w:tcBorders>
              <w:left w:val="single" w:sz="8" w:color="auto"/>
              <w:bottom w:val="single" w:sz="8" w:color="auto"/>
            </w:tcBorders>
          </w:tcPr>
          <w:p>
            <w:pPr>
              <w:spacing w:after="0"/>
              <w:rPr>
                <w:sz w:val="20"/>
                <w:szCs w:val="20"/>
                <w:color w:val="auto"/>
              </w:rPr>
            </w:pPr>
          </w:p>
        </w:tc>
        <w:tc>
          <w:tcPr>
            <w:tcW w:w="232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29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0</w:t>
            </w:r>
          </w:p>
        </w:tc>
        <w:tc>
          <w:tcPr>
            <w:tcW w:w="6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1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9</w:t>
            </w:r>
          </w:p>
        </w:tc>
        <w:tc>
          <w:tcPr>
            <w:tcW w:w="6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060" w:type="dxa"/>
            <w:vAlign w:val="bottom"/>
            <w:tcBorders>
              <w:left w:val="single" w:sz="8" w:color="auto"/>
              <w:right w:val="single" w:sz="8" w:color="auto"/>
            </w:tcBorders>
          </w:tcPr>
          <w:p>
            <w:pPr>
              <w:spacing w:after="0"/>
              <w:rPr>
                <w:sz w:val="18"/>
                <w:szCs w:val="18"/>
                <w:color w:val="auto"/>
              </w:rPr>
            </w:pPr>
          </w:p>
        </w:tc>
        <w:tc>
          <w:tcPr>
            <w:tcW w:w="2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REPORTING PERSON</w:t>
            </w:r>
          </w:p>
        </w:tc>
        <w:tc>
          <w:tcPr>
            <w:tcW w:w="8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7"/>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2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190,232,260</w:t>
            </w:r>
            <w:r>
              <w:rPr>
                <w:rFonts w:ascii="Times New Roman" w:cs="Times New Roman" w:eastAsia="Times New Roman" w:hAnsi="Times New Roman"/>
                <w:sz w:val="23"/>
                <w:szCs w:val="23"/>
                <w:b w:val="1"/>
                <w:bCs w:val="1"/>
                <w:color w:val="auto"/>
                <w:vertAlign w:val="superscript"/>
              </w:rPr>
              <w:t>(1)</w:t>
            </w:r>
          </w:p>
        </w:tc>
        <w:tc>
          <w:tcPr>
            <w:tcW w:w="8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10</w:t>
            </w:r>
          </w:p>
        </w:tc>
        <w:tc>
          <w:tcPr>
            <w:tcW w:w="6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(9)</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60" w:type="dxa"/>
            <w:vAlign w:val="bottom"/>
            <w:tcBorders>
              <w:left w:val="single" w:sz="8" w:color="auto"/>
              <w:right w:val="single" w:sz="8" w:color="auto"/>
            </w:tcBorders>
          </w:tcPr>
          <w:p>
            <w:pPr>
              <w:spacing w:after="0"/>
              <w:rPr>
                <w:sz w:val="20"/>
                <w:szCs w:val="20"/>
                <w:color w:val="auto"/>
              </w:rPr>
            </w:pPr>
          </w:p>
        </w:tc>
        <w:tc>
          <w:tcPr>
            <w:tcW w:w="6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EXCLUDES CERTAIN SHARES (SEE INSTRUCTIONS)</w:t>
            </w: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1060" w:type="dxa"/>
            <w:vAlign w:val="bottom"/>
            <w:tcBorders>
              <w:left w:val="single" w:sz="8" w:color="auto"/>
              <w:bottom w:val="single" w:sz="8" w:color="auto"/>
              <w:right w:val="single" w:sz="8" w:color="auto"/>
            </w:tcBorders>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9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w:t>
            </w:r>
          </w:p>
        </w:tc>
        <w:tc>
          <w:tcPr>
            <w:tcW w:w="6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2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18.3%</w:t>
            </w:r>
            <w:r>
              <w:rPr>
                <w:rFonts w:ascii="Times New Roman" w:cs="Times New Roman" w:eastAsia="Times New Roman" w:hAnsi="Times New Roman"/>
                <w:sz w:val="23"/>
                <w:szCs w:val="23"/>
                <w:b w:val="1"/>
                <w:bCs w:val="1"/>
                <w:color w:val="auto"/>
                <w:vertAlign w:val="superscript"/>
              </w:rPr>
              <w:t>(2)</w:t>
            </w:r>
          </w:p>
        </w:tc>
        <w:tc>
          <w:tcPr>
            <w:tcW w:w="8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12</w:t>
            </w:r>
          </w:p>
        </w:tc>
        <w:tc>
          <w:tcPr>
            <w:tcW w:w="6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060" w:type="dxa"/>
            <w:vAlign w:val="bottom"/>
            <w:tcBorders>
              <w:left w:val="single" w:sz="8" w:color="auto"/>
              <w:right w:val="single" w:sz="8" w:color="auto"/>
            </w:tcBorders>
          </w:tcPr>
          <w:p>
            <w:pPr>
              <w:spacing w:after="0"/>
              <w:rPr>
                <w:sz w:val="20"/>
                <w:szCs w:val="20"/>
                <w:color w:val="auto"/>
              </w:rPr>
            </w:pPr>
          </w:p>
        </w:tc>
        <w:tc>
          <w:tcPr>
            <w:tcW w:w="23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PN</w:t>
            </w:r>
          </w:p>
        </w:tc>
        <w:tc>
          <w:tcPr>
            <w:tcW w:w="8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1060" w:type="dxa"/>
            <w:vAlign w:val="bottom"/>
            <w:tcBorders>
              <w:left w:val="single" w:sz="8" w:color="auto"/>
              <w:bottom w:val="single" w:sz="8" w:color="auto"/>
              <w:right w:val="single" w:sz="8" w:color="auto"/>
            </w:tcBorders>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9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7659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6593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40" w:right="400" w:hanging="332"/>
        <w:spacing w:after="0" w:line="266" w:lineRule="auto"/>
        <w:tabs>
          <w:tab w:leader="none" w:pos="34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190,232,260 Class A common shares in the form of 9,511,613 ADSs (excluding 45,638 ADSs contracted for sales as of December 31, 2020, which were all settled as of the date hereof) held by SAIF IV Healthcare (BVI) Limited, which is wholly owned by SAIF Partners IV L.P., whose general partner is SAIF IV GP, L.P., as further disclosed in Item 4.</w:t>
      </w:r>
    </w:p>
    <w:p>
      <w:pPr>
        <w:spacing w:after="0" w:line="175" w:lineRule="exact"/>
        <w:rPr>
          <w:rFonts w:ascii="Times New Roman" w:cs="Times New Roman" w:eastAsia="Times New Roman" w:hAnsi="Times New Roman"/>
          <w:sz w:val="18"/>
          <w:szCs w:val="18"/>
          <w:color w:val="auto"/>
        </w:rPr>
      </w:pPr>
    </w:p>
    <w:p>
      <w:pPr>
        <w:ind w:left="340" w:right="100" w:hanging="332"/>
        <w:spacing w:after="0" w:line="258" w:lineRule="auto"/>
        <w:tabs>
          <w:tab w:leader="none" w:pos="34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1,039,805,653 common shares issued and outstanding as of March 31, 2020, including (i) 889,214,446 Class A common shares, and (ii) 150,591,207 Class B common shares, as reported in the Issuer’s annual report on Form 20-F for the fiscal year ended December 31, 2019. In respect of all matters subject to a shareholders’ vote, each Class A common share is entitled to one vote, and each Class B common share is entitled to 15 votes, voting together as a single class. Each Class B common share is convertible into one Class A common share at any time at the option of the holder thereof. Class A common shares are not convertible into Class B common shares under any circumstances.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532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8"/>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44473E105**</w:t>
            </w:r>
          </w:p>
        </w:tc>
        <w:tc>
          <w:tcPr>
            <w:tcW w:w="840" w:type="dxa"/>
            <w:vAlign w:val="bottom"/>
          </w:tcPr>
          <w:p>
            <w:pPr>
              <w:spacing w:after="0"/>
              <w:rPr>
                <w:sz w:val="20"/>
                <w:szCs w:val="20"/>
                <w:color w:val="auto"/>
              </w:rPr>
            </w:pPr>
          </w:p>
        </w:tc>
        <w:tc>
          <w:tcPr>
            <w:tcW w:w="29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13G</w:t>
            </w: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6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2"/>
          </w:tcPr>
          <w:p>
            <w:pPr>
              <w:spacing w:after="0"/>
              <w:rPr>
                <w:sz w:val="18"/>
                <w:szCs w:val="18"/>
                <w:color w:val="auto"/>
              </w:rPr>
            </w:pPr>
          </w:p>
        </w:tc>
        <w:tc>
          <w:tcPr>
            <w:tcW w:w="29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3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060" w:type="dxa"/>
            <w:vAlign w:val="bottom"/>
            <w:tcBorders>
              <w:left w:val="single" w:sz="8" w:color="auto"/>
              <w:right w:val="single" w:sz="8" w:color="auto"/>
            </w:tcBorders>
          </w:tcPr>
          <w:p>
            <w:pPr>
              <w:spacing w:after="0"/>
              <w:rPr>
                <w:sz w:val="20"/>
                <w:szCs w:val="20"/>
                <w:color w:val="auto"/>
              </w:rPr>
            </w:pPr>
          </w:p>
        </w:tc>
        <w:tc>
          <w:tcPr>
            <w:tcW w:w="23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SAIF IV GP Capital Ltd.</w:t>
            </w:r>
          </w:p>
        </w:tc>
        <w:tc>
          <w:tcPr>
            <w:tcW w:w="8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1060" w:type="dxa"/>
            <w:vAlign w:val="bottom"/>
            <w:tcBorders>
              <w:left w:val="single" w:sz="8" w:color="auto"/>
              <w:bottom w:val="single" w:sz="8" w:color="auto"/>
              <w:right w:val="single" w:sz="8" w:color="auto"/>
            </w:tcBorders>
          </w:tcPr>
          <w:p>
            <w:pPr>
              <w:spacing w:after="0"/>
              <w:rPr>
                <w:sz w:val="8"/>
                <w:szCs w:val="8"/>
                <w:color w:val="auto"/>
              </w:rPr>
            </w:pPr>
          </w:p>
        </w:tc>
        <w:tc>
          <w:tcPr>
            <w:tcW w:w="6140" w:type="dxa"/>
            <w:vAlign w:val="bottom"/>
            <w:tcBorders>
              <w:bottom w:val="single" w:sz="8" w:color="auto"/>
            </w:tcBorders>
            <w:gridSpan w:val="3"/>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w:t>
            </w:r>
          </w:p>
        </w:tc>
        <w:tc>
          <w:tcPr>
            <w:tcW w:w="6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60" w:type="dxa"/>
            <w:vAlign w:val="bottom"/>
            <w:tcBorders>
              <w:left w:val="single" w:sz="8" w:color="auto"/>
              <w:right w:val="single" w:sz="8" w:color="auto"/>
            </w:tcBorders>
          </w:tcPr>
          <w:p>
            <w:pPr>
              <w:spacing w:after="0"/>
              <w:rPr>
                <w:sz w:val="20"/>
                <w:szCs w:val="20"/>
                <w:color w:val="auto"/>
              </w:rPr>
            </w:pPr>
          </w:p>
        </w:tc>
        <w:tc>
          <w:tcPr>
            <w:tcW w:w="2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(SEE INSTRUCTIONS)</w:t>
            </w:r>
          </w:p>
        </w:tc>
        <w:tc>
          <w:tcPr>
            <w:tcW w:w="840" w:type="dxa"/>
            <w:vAlign w:val="bottom"/>
          </w:tcPr>
          <w:p>
            <w:pPr>
              <w:spacing w:after="0"/>
              <w:rPr>
                <w:sz w:val="20"/>
                <w:szCs w:val="20"/>
                <w:color w:val="auto"/>
              </w:rPr>
            </w:pPr>
          </w:p>
        </w:tc>
        <w:tc>
          <w:tcPr>
            <w:tcW w:w="298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(a)</w:t>
            </w:r>
          </w:p>
        </w:tc>
        <w:tc>
          <w:tcPr>
            <w:tcW w:w="680" w:type="dxa"/>
            <w:vAlign w:val="bottom"/>
          </w:tcPr>
          <w:p>
            <w:pPr>
              <w:spacing w:after="0"/>
              <w:rPr>
                <w:sz w:val="20"/>
                <w:szCs w:val="20"/>
                <w:color w:val="auto"/>
              </w:rPr>
            </w:pPr>
          </w:p>
        </w:tc>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w:t>
            </w:r>
          </w:p>
        </w:tc>
        <w:tc>
          <w:tcPr>
            <w:tcW w:w="2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060" w:type="dxa"/>
            <w:vAlign w:val="bottom"/>
            <w:tcBorders>
              <w:left w:val="single" w:sz="8" w:color="auto"/>
              <w:bottom w:val="single" w:sz="8" w:color="auto"/>
              <w:right w:val="single" w:sz="8" w:color="auto"/>
            </w:tcBorders>
          </w:tcPr>
          <w:p>
            <w:pPr>
              <w:spacing w:after="0"/>
              <w:rPr>
                <w:sz w:val="5"/>
                <w:szCs w:val="5"/>
                <w:color w:val="auto"/>
              </w:rPr>
            </w:pPr>
          </w:p>
        </w:tc>
        <w:tc>
          <w:tcPr>
            <w:tcW w:w="23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9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6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1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w:t>
            </w:r>
          </w:p>
        </w:tc>
        <w:tc>
          <w:tcPr>
            <w:tcW w:w="2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8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060" w:type="dxa"/>
            <w:vAlign w:val="bottom"/>
            <w:tcBorders>
              <w:left w:val="single" w:sz="8" w:color="auto"/>
              <w:bottom w:val="single" w:sz="8" w:color="auto"/>
              <w:right w:val="single" w:sz="8" w:color="auto"/>
            </w:tcBorders>
          </w:tcPr>
          <w:p>
            <w:pPr>
              <w:spacing w:after="0"/>
              <w:rPr>
                <w:sz w:val="8"/>
                <w:szCs w:val="8"/>
                <w:color w:val="auto"/>
              </w:rPr>
            </w:pPr>
          </w:p>
        </w:tc>
        <w:tc>
          <w:tcPr>
            <w:tcW w:w="6140" w:type="dxa"/>
            <w:vAlign w:val="bottom"/>
            <w:tcBorders>
              <w:bottom w:val="single" w:sz="8" w:color="auto"/>
            </w:tcBorders>
            <w:gridSpan w:val="3"/>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4</w:t>
            </w:r>
          </w:p>
        </w:tc>
        <w:tc>
          <w:tcPr>
            <w:tcW w:w="6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060" w:type="dxa"/>
            <w:vAlign w:val="bottom"/>
            <w:tcBorders>
              <w:left w:val="single" w:sz="8" w:color="auto"/>
              <w:right w:val="single" w:sz="8" w:color="auto"/>
            </w:tcBorders>
          </w:tcPr>
          <w:p>
            <w:pPr>
              <w:spacing w:after="0"/>
              <w:rPr>
                <w:sz w:val="20"/>
                <w:szCs w:val="20"/>
                <w:color w:val="auto"/>
              </w:rPr>
            </w:pPr>
          </w:p>
        </w:tc>
        <w:tc>
          <w:tcPr>
            <w:tcW w:w="23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8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1060" w:type="dxa"/>
            <w:vAlign w:val="bottom"/>
            <w:tcBorders>
              <w:left w:val="single" w:sz="8" w:color="auto"/>
              <w:bottom w:val="single" w:sz="8" w:color="auto"/>
              <w:right w:val="single" w:sz="8" w:color="auto"/>
            </w:tcBorders>
          </w:tcPr>
          <w:p>
            <w:pPr>
              <w:spacing w:after="0"/>
              <w:rPr>
                <w:sz w:val="5"/>
                <w:szCs w:val="5"/>
                <w:color w:val="auto"/>
              </w:rPr>
            </w:pPr>
          </w:p>
        </w:tc>
        <w:tc>
          <w:tcPr>
            <w:tcW w:w="23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9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6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1060" w:type="dxa"/>
            <w:vAlign w:val="bottom"/>
            <w:tcBorders>
              <w:lef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5</w:t>
            </w:r>
          </w:p>
        </w:tc>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380" w:type="dxa"/>
            <w:vAlign w:val="bottom"/>
            <w:tcBorders>
              <w:left w:val="single" w:sz="8" w:color="auto"/>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NUMBER OF SHARES</w:t>
            </w:r>
          </w:p>
        </w:tc>
        <w:tc>
          <w:tcPr>
            <w:tcW w:w="840" w:type="dxa"/>
            <w:vAlign w:val="bottom"/>
            <w:tcBorders>
              <w:bottom w:val="single" w:sz="8" w:color="auto"/>
              <w:right w:val="single" w:sz="8" w:color="auto"/>
            </w:tcBorders>
          </w:tcPr>
          <w:p>
            <w:pPr>
              <w:spacing w:after="0"/>
              <w:rPr>
                <w:sz w:val="20"/>
                <w:szCs w:val="20"/>
                <w:color w:val="auto"/>
              </w:rPr>
            </w:pPr>
          </w:p>
        </w:tc>
        <w:tc>
          <w:tcPr>
            <w:tcW w:w="2980" w:type="dxa"/>
            <w:vAlign w:val="bottom"/>
            <w:tcBorders>
              <w:bottom w:val="single" w:sz="8" w:color="auto"/>
            </w:tcBorders>
          </w:tcPr>
          <w:p>
            <w:pPr>
              <w:ind w:left="100"/>
              <w:spacing w:after="0" w:line="239" w:lineRule="exact"/>
              <w:rPr>
                <w:sz w:val="20"/>
                <w:szCs w:val="20"/>
                <w:color w:val="auto"/>
              </w:rPr>
            </w:pPr>
            <w:r>
              <w:rPr>
                <w:rFonts w:ascii="Times New Roman" w:cs="Times New Roman" w:eastAsia="Times New Roman" w:hAnsi="Times New Roman"/>
                <w:sz w:val="18"/>
                <w:szCs w:val="18"/>
                <w:b w:val="1"/>
                <w:bCs w:val="1"/>
                <w:color w:val="auto"/>
              </w:rPr>
              <w:t>190,232,260</w:t>
            </w:r>
            <w:r>
              <w:rPr>
                <w:rFonts w:ascii="Times New Roman" w:cs="Times New Roman" w:eastAsia="Times New Roman" w:hAnsi="Times New Roman"/>
                <w:sz w:val="23"/>
                <w:szCs w:val="23"/>
                <w:b w:val="1"/>
                <w:bCs w:val="1"/>
                <w:color w:val="auto"/>
                <w:vertAlign w:val="superscript"/>
              </w:rPr>
              <w:t>(1)</w:t>
            </w:r>
          </w:p>
        </w:tc>
        <w:tc>
          <w:tcPr>
            <w:tcW w:w="6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380" w:type="dxa"/>
            <w:vAlign w:val="bottom"/>
            <w:tcBorders>
              <w:left w:val="single" w:sz="8" w:color="auto"/>
              <w:right w:val="single" w:sz="8" w:color="auto"/>
            </w:tcBorders>
            <w:gridSpan w:val="2"/>
            <w:vMerge w:val="continue"/>
          </w:tcPr>
          <w:p>
            <w:pPr>
              <w:spacing w:after="0"/>
              <w:rPr>
                <w:sz w:val="15"/>
                <w:szCs w:val="15"/>
                <w:color w:val="auto"/>
              </w:rPr>
            </w:pPr>
          </w:p>
        </w:tc>
        <w:tc>
          <w:tcPr>
            <w:tcW w:w="840" w:type="dxa"/>
            <w:vAlign w:val="bottom"/>
            <w:tcBorders>
              <w:right w:val="single" w:sz="8" w:color="auto"/>
            </w:tcBorders>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rPr>
              <w:t>6</w:t>
            </w:r>
          </w:p>
        </w:tc>
        <w:tc>
          <w:tcPr>
            <w:tcW w:w="2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3380" w:type="dxa"/>
            <w:vAlign w:val="bottom"/>
            <w:tcBorders>
              <w:left w:val="single" w:sz="8" w:color="auto"/>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BENEFICIALLY</w:t>
            </w:r>
          </w:p>
        </w:tc>
        <w:tc>
          <w:tcPr>
            <w:tcW w:w="840" w:type="dxa"/>
            <w:vAlign w:val="bottom"/>
            <w:tcBorders>
              <w:right w:val="single" w:sz="8" w:color="auto"/>
            </w:tcBorders>
            <w:vMerge w:val="continue"/>
          </w:tcPr>
          <w:p>
            <w:pPr>
              <w:spacing w:after="0"/>
              <w:rPr>
                <w:sz w:val="9"/>
                <w:szCs w:val="9"/>
                <w:color w:val="auto"/>
              </w:rPr>
            </w:pPr>
          </w:p>
        </w:tc>
        <w:tc>
          <w:tcPr>
            <w:tcW w:w="298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3380" w:type="dxa"/>
            <w:vAlign w:val="bottom"/>
            <w:tcBorders>
              <w:left w:val="single" w:sz="8" w:color="auto"/>
              <w:right w:val="single" w:sz="8" w:color="auto"/>
            </w:tcBorders>
            <w:gridSpan w:val="2"/>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2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0</w:t>
            </w: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380" w:type="dxa"/>
            <w:vAlign w:val="bottom"/>
            <w:tcBorders>
              <w:left w:val="single" w:sz="8" w:color="auto"/>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OWNED BY EACH</w:t>
            </w:r>
          </w:p>
        </w:tc>
        <w:tc>
          <w:tcPr>
            <w:tcW w:w="840" w:type="dxa"/>
            <w:vAlign w:val="bottom"/>
            <w:tcBorders>
              <w:bottom w:val="single" w:sz="8" w:color="auto"/>
              <w:right w:val="single" w:sz="8" w:color="auto"/>
            </w:tcBorders>
          </w:tcPr>
          <w:p>
            <w:pPr>
              <w:spacing w:after="0"/>
              <w:rPr>
                <w:sz w:val="10"/>
                <w:szCs w:val="10"/>
                <w:color w:val="auto"/>
              </w:rPr>
            </w:pPr>
          </w:p>
        </w:tc>
        <w:tc>
          <w:tcPr>
            <w:tcW w:w="2980" w:type="dxa"/>
            <w:vAlign w:val="bottom"/>
            <w:tcBorders>
              <w:bottom w:val="single" w:sz="8" w:color="auto"/>
            </w:tcBorders>
            <w:vMerge w:val="continue"/>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3380" w:type="dxa"/>
            <w:vAlign w:val="bottom"/>
            <w:tcBorders>
              <w:left w:val="single" w:sz="8" w:color="auto"/>
              <w:right w:val="single" w:sz="8" w:color="auto"/>
            </w:tcBorders>
            <w:gridSpan w:val="2"/>
            <w:vMerge w:val="continue"/>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29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33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REPORTING PERSON</w:t>
            </w:r>
          </w:p>
        </w:tc>
        <w:tc>
          <w:tcPr>
            <w:tcW w:w="84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7</w:t>
            </w:r>
          </w:p>
        </w:tc>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WITH</w:t>
            </w:r>
          </w:p>
        </w:tc>
        <w:tc>
          <w:tcPr>
            <w:tcW w:w="2320" w:type="dxa"/>
            <w:vAlign w:val="bottom"/>
            <w:tcBorders>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2980" w:type="dxa"/>
            <w:vAlign w:val="bottom"/>
            <w:tcBorders>
              <w:bottom w:val="single" w:sz="8" w:color="auto"/>
            </w:tcBorders>
          </w:tcPr>
          <w:p>
            <w:pPr>
              <w:ind w:left="100"/>
              <w:spacing w:after="0" w:line="239" w:lineRule="exact"/>
              <w:rPr>
                <w:sz w:val="20"/>
                <w:szCs w:val="20"/>
                <w:color w:val="auto"/>
              </w:rPr>
            </w:pPr>
            <w:r>
              <w:rPr>
                <w:rFonts w:ascii="Times New Roman" w:cs="Times New Roman" w:eastAsia="Times New Roman" w:hAnsi="Times New Roman"/>
                <w:sz w:val="18"/>
                <w:szCs w:val="18"/>
                <w:b w:val="1"/>
                <w:bCs w:val="1"/>
                <w:color w:val="auto"/>
              </w:rPr>
              <w:t>190,232,260</w:t>
            </w:r>
            <w:r>
              <w:rPr>
                <w:rFonts w:ascii="Times New Roman" w:cs="Times New Roman" w:eastAsia="Times New Roman" w:hAnsi="Times New Roman"/>
                <w:sz w:val="23"/>
                <w:szCs w:val="23"/>
                <w:b w:val="1"/>
                <w:bCs w:val="1"/>
                <w:color w:val="auto"/>
                <w:vertAlign w:val="superscript"/>
              </w:rPr>
              <w:t>(1)</w:t>
            </w:r>
          </w:p>
        </w:tc>
        <w:tc>
          <w:tcPr>
            <w:tcW w:w="6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1060" w:type="dxa"/>
            <w:vAlign w:val="bottom"/>
            <w:tcBorders>
              <w:lef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8</w:t>
            </w:r>
          </w:p>
        </w:tc>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060" w:type="dxa"/>
            <w:vAlign w:val="bottom"/>
            <w:tcBorders>
              <w:left w:val="single" w:sz="8" w:color="auto"/>
              <w:bottom w:val="single" w:sz="8" w:color="auto"/>
            </w:tcBorders>
          </w:tcPr>
          <w:p>
            <w:pPr>
              <w:spacing w:after="0"/>
              <w:rPr>
                <w:sz w:val="20"/>
                <w:szCs w:val="20"/>
                <w:color w:val="auto"/>
              </w:rPr>
            </w:pPr>
          </w:p>
        </w:tc>
        <w:tc>
          <w:tcPr>
            <w:tcW w:w="232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29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0</w:t>
            </w:r>
          </w:p>
        </w:tc>
        <w:tc>
          <w:tcPr>
            <w:tcW w:w="6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1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9</w:t>
            </w:r>
          </w:p>
        </w:tc>
        <w:tc>
          <w:tcPr>
            <w:tcW w:w="6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060" w:type="dxa"/>
            <w:vAlign w:val="bottom"/>
            <w:tcBorders>
              <w:left w:val="single" w:sz="8" w:color="auto"/>
              <w:right w:val="single" w:sz="8" w:color="auto"/>
            </w:tcBorders>
          </w:tcPr>
          <w:p>
            <w:pPr>
              <w:spacing w:after="0"/>
              <w:rPr>
                <w:sz w:val="18"/>
                <w:szCs w:val="18"/>
                <w:color w:val="auto"/>
              </w:rPr>
            </w:pPr>
          </w:p>
        </w:tc>
        <w:tc>
          <w:tcPr>
            <w:tcW w:w="2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REPORTING PERSON</w:t>
            </w:r>
          </w:p>
        </w:tc>
        <w:tc>
          <w:tcPr>
            <w:tcW w:w="8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7"/>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2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190,232,260</w:t>
            </w:r>
            <w:r>
              <w:rPr>
                <w:rFonts w:ascii="Times New Roman" w:cs="Times New Roman" w:eastAsia="Times New Roman" w:hAnsi="Times New Roman"/>
                <w:sz w:val="23"/>
                <w:szCs w:val="23"/>
                <w:b w:val="1"/>
                <w:bCs w:val="1"/>
                <w:color w:val="auto"/>
                <w:vertAlign w:val="superscript"/>
              </w:rPr>
              <w:t>(1)</w:t>
            </w:r>
          </w:p>
        </w:tc>
        <w:tc>
          <w:tcPr>
            <w:tcW w:w="8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10</w:t>
            </w:r>
          </w:p>
        </w:tc>
        <w:tc>
          <w:tcPr>
            <w:tcW w:w="6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(9)</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60" w:type="dxa"/>
            <w:vAlign w:val="bottom"/>
            <w:tcBorders>
              <w:left w:val="single" w:sz="8" w:color="auto"/>
              <w:right w:val="single" w:sz="8" w:color="auto"/>
            </w:tcBorders>
          </w:tcPr>
          <w:p>
            <w:pPr>
              <w:spacing w:after="0"/>
              <w:rPr>
                <w:sz w:val="20"/>
                <w:szCs w:val="20"/>
                <w:color w:val="auto"/>
              </w:rPr>
            </w:pPr>
          </w:p>
        </w:tc>
        <w:tc>
          <w:tcPr>
            <w:tcW w:w="6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EXCLUDES CERTAIN SHARES (SEE INSTRUCTIONS)</w:t>
            </w: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1060" w:type="dxa"/>
            <w:vAlign w:val="bottom"/>
            <w:tcBorders>
              <w:left w:val="single" w:sz="8" w:color="auto"/>
              <w:bottom w:val="single" w:sz="8" w:color="auto"/>
              <w:right w:val="single" w:sz="8" w:color="auto"/>
            </w:tcBorders>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9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w:t>
            </w:r>
          </w:p>
        </w:tc>
        <w:tc>
          <w:tcPr>
            <w:tcW w:w="6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2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18.3%</w:t>
            </w:r>
            <w:r>
              <w:rPr>
                <w:rFonts w:ascii="Times New Roman" w:cs="Times New Roman" w:eastAsia="Times New Roman" w:hAnsi="Times New Roman"/>
                <w:sz w:val="23"/>
                <w:szCs w:val="23"/>
                <w:b w:val="1"/>
                <w:bCs w:val="1"/>
                <w:color w:val="auto"/>
                <w:vertAlign w:val="superscript"/>
              </w:rPr>
              <w:t>(2)</w:t>
            </w:r>
          </w:p>
        </w:tc>
        <w:tc>
          <w:tcPr>
            <w:tcW w:w="8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12</w:t>
            </w:r>
          </w:p>
        </w:tc>
        <w:tc>
          <w:tcPr>
            <w:tcW w:w="6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060" w:type="dxa"/>
            <w:vAlign w:val="bottom"/>
            <w:tcBorders>
              <w:left w:val="single" w:sz="8" w:color="auto"/>
              <w:right w:val="single" w:sz="8" w:color="auto"/>
            </w:tcBorders>
          </w:tcPr>
          <w:p>
            <w:pPr>
              <w:spacing w:after="0"/>
              <w:rPr>
                <w:sz w:val="20"/>
                <w:szCs w:val="20"/>
                <w:color w:val="auto"/>
              </w:rPr>
            </w:pPr>
          </w:p>
        </w:tc>
        <w:tc>
          <w:tcPr>
            <w:tcW w:w="23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CO</w:t>
            </w:r>
          </w:p>
        </w:tc>
        <w:tc>
          <w:tcPr>
            <w:tcW w:w="8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1060" w:type="dxa"/>
            <w:vAlign w:val="bottom"/>
            <w:tcBorders>
              <w:left w:val="single" w:sz="8" w:color="auto"/>
              <w:bottom w:val="single" w:sz="8" w:color="auto"/>
              <w:right w:val="single" w:sz="8" w:color="auto"/>
            </w:tcBorders>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9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7659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40" w:right="400" w:hanging="332"/>
        <w:spacing w:after="0" w:line="266" w:lineRule="auto"/>
        <w:tabs>
          <w:tab w:leader="none" w:pos="34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190,232,260 Class A common shares in the form of 9,511,613 ADSs (excluding 45,638 ADSs contracted for sales as of December 31, 2020, which were all settled as of the date hereof) held by SAIF IV Healthcare (BVI) Limited, which is wholly owned by SAIF Partners IV L.P., whose general partner is SAIF IV GP, L.P., whose general partner in turn is SAIF IV GP Capital Ltd., as further disclosed in Item 4.</w:t>
      </w:r>
    </w:p>
    <w:p>
      <w:pPr>
        <w:spacing w:after="0" w:line="175" w:lineRule="exact"/>
        <w:rPr>
          <w:rFonts w:ascii="Times New Roman" w:cs="Times New Roman" w:eastAsia="Times New Roman" w:hAnsi="Times New Roman"/>
          <w:sz w:val="18"/>
          <w:szCs w:val="18"/>
          <w:color w:val="auto"/>
        </w:rPr>
      </w:pPr>
    </w:p>
    <w:p>
      <w:pPr>
        <w:ind w:left="340" w:right="100" w:hanging="332"/>
        <w:spacing w:after="0" w:line="258" w:lineRule="auto"/>
        <w:tabs>
          <w:tab w:leader="none" w:pos="34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1,039,805,653 common shares issued and outstanding as of March 31, 2020, including (i) 889,214,446 Class A common shares, and (ii) 150,591,207 Class B common shares, as reported in the Issuer’s annual report on Form 20-F for the fiscal year ended December 31, 2019. In respect of all matters subject to a shareholders’ vote, each Class A common share is entitled to one vote, and each Class B common share is entitled to 15 votes, voting together as a single class. Each Class B common share is convertible into one Class A common share at any time at the option of the holder thereof. Class A common shares are not convertible into Class B common shares under any circumstances.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532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38"/>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44473E105**</w:t>
            </w:r>
          </w:p>
        </w:tc>
        <w:tc>
          <w:tcPr>
            <w:tcW w:w="840" w:type="dxa"/>
            <w:vAlign w:val="bottom"/>
          </w:tcPr>
          <w:p>
            <w:pPr>
              <w:spacing w:after="0"/>
              <w:rPr>
                <w:sz w:val="20"/>
                <w:szCs w:val="20"/>
                <w:color w:val="auto"/>
              </w:rPr>
            </w:pPr>
          </w:p>
        </w:tc>
        <w:tc>
          <w:tcPr>
            <w:tcW w:w="29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13G</w:t>
            </w: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6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2"/>
          </w:tcPr>
          <w:p>
            <w:pPr>
              <w:spacing w:after="0"/>
              <w:rPr>
                <w:sz w:val="18"/>
                <w:szCs w:val="18"/>
                <w:color w:val="auto"/>
              </w:rPr>
            </w:pPr>
          </w:p>
        </w:tc>
        <w:tc>
          <w:tcPr>
            <w:tcW w:w="29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3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060" w:type="dxa"/>
            <w:vAlign w:val="bottom"/>
            <w:tcBorders>
              <w:left w:val="single" w:sz="8" w:color="auto"/>
              <w:right w:val="single" w:sz="8" w:color="auto"/>
            </w:tcBorders>
          </w:tcPr>
          <w:p>
            <w:pPr>
              <w:spacing w:after="0"/>
              <w:rPr>
                <w:sz w:val="20"/>
                <w:szCs w:val="20"/>
                <w:color w:val="auto"/>
              </w:rPr>
            </w:pPr>
          </w:p>
        </w:tc>
        <w:tc>
          <w:tcPr>
            <w:tcW w:w="23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Andrew Y. Yan</w:t>
            </w:r>
          </w:p>
        </w:tc>
        <w:tc>
          <w:tcPr>
            <w:tcW w:w="8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1060" w:type="dxa"/>
            <w:vAlign w:val="bottom"/>
            <w:tcBorders>
              <w:left w:val="single" w:sz="8" w:color="auto"/>
              <w:bottom w:val="single" w:sz="8" w:color="auto"/>
              <w:right w:val="single" w:sz="8" w:color="auto"/>
            </w:tcBorders>
          </w:tcPr>
          <w:p>
            <w:pPr>
              <w:spacing w:after="0"/>
              <w:rPr>
                <w:sz w:val="8"/>
                <w:szCs w:val="8"/>
                <w:color w:val="auto"/>
              </w:rPr>
            </w:pPr>
          </w:p>
        </w:tc>
        <w:tc>
          <w:tcPr>
            <w:tcW w:w="6140" w:type="dxa"/>
            <w:vAlign w:val="bottom"/>
            <w:tcBorders>
              <w:bottom w:val="single" w:sz="8" w:color="auto"/>
            </w:tcBorders>
            <w:gridSpan w:val="3"/>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w:t>
            </w:r>
          </w:p>
        </w:tc>
        <w:tc>
          <w:tcPr>
            <w:tcW w:w="6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60" w:type="dxa"/>
            <w:vAlign w:val="bottom"/>
            <w:tcBorders>
              <w:left w:val="single" w:sz="8" w:color="auto"/>
              <w:right w:val="single" w:sz="8" w:color="auto"/>
            </w:tcBorders>
          </w:tcPr>
          <w:p>
            <w:pPr>
              <w:spacing w:after="0"/>
              <w:rPr>
                <w:sz w:val="20"/>
                <w:szCs w:val="20"/>
                <w:color w:val="auto"/>
              </w:rPr>
            </w:pPr>
          </w:p>
        </w:tc>
        <w:tc>
          <w:tcPr>
            <w:tcW w:w="2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(SEE INSTRUCTIONS)</w:t>
            </w:r>
          </w:p>
        </w:tc>
        <w:tc>
          <w:tcPr>
            <w:tcW w:w="840" w:type="dxa"/>
            <w:vAlign w:val="bottom"/>
          </w:tcPr>
          <w:p>
            <w:pPr>
              <w:spacing w:after="0"/>
              <w:rPr>
                <w:sz w:val="20"/>
                <w:szCs w:val="20"/>
                <w:color w:val="auto"/>
              </w:rPr>
            </w:pPr>
          </w:p>
        </w:tc>
        <w:tc>
          <w:tcPr>
            <w:tcW w:w="298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(a)</w:t>
            </w:r>
          </w:p>
        </w:tc>
        <w:tc>
          <w:tcPr>
            <w:tcW w:w="680" w:type="dxa"/>
            <w:vAlign w:val="bottom"/>
          </w:tcPr>
          <w:p>
            <w:pPr>
              <w:spacing w:after="0"/>
              <w:rPr>
                <w:sz w:val="20"/>
                <w:szCs w:val="20"/>
                <w:color w:val="auto"/>
              </w:rPr>
            </w:pPr>
          </w:p>
        </w:tc>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w:t>
            </w:r>
          </w:p>
        </w:tc>
        <w:tc>
          <w:tcPr>
            <w:tcW w:w="2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060" w:type="dxa"/>
            <w:vAlign w:val="bottom"/>
            <w:tcBorders>
              <w:left w:val="single" w:sz="8" w:color="auto"/>
              <w:bottom w:val="single" w:sz="8" w:color="auto"/>
              <w:right w:val="single" w:sz="8" w:color="auto"/>
            </w:tcBorders>
          </w:tcPr>
          <w:p>
            <w:pPr>
              <w:spacing w:after="0"/>
              <w:rPr>
                <w:sz w:val="5"/>
                <w:szCs w:val="5"/>
                <w:color w:val="auto"/>
              </w:rPr>
            </w:pPr>
          </w:p>
        </w:tc>
        <w:tc>
          <w:tcPr>
            <w:tcW w:w="23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9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6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1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w:t>
            </w:r>
          </w:p>
        </w:tc>
        <w:tc>
          <w:tcPr>
            <w:tcW w:w="2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8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060" w:type="dxa"/>
            <w:vAlign w:val="bottom"/>
            <w:tcBorders>
              <w:left w:val="single" w:sz="8" w:color="auto"/>
              <w:bottom w:val="single" w:sz="8" w:color="auto"/>
              <w:right w:val="single" w:sz="8" w:color="auto"/>
            </w:tcBorders>
          </w:tcPr>
          <w:p>
            <w:pPr>
              <w:spacing w:after="0"/>
              <w:rPr>
                <w:sz w:val="8"/>
                <w:szCs w:val="8"/>
                <w:color w:val="auto"/>
              </w:rPr>
            </w:pPr>
          </w:p>
        </w:tc>
        <w:tc>
          <w:tcPr>
            <w:tcW w:w="6140" w:type="dxa"/>
            <w:vAlign w:val="bottom"/>
            <w:tcBorders>
              <w:bottom w:val="single" w:sz="8" w:color="auto"/>
            </w:tcBorders>
            <w:gridSpan w:val="3"/>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4</w:t>
            </w:r>
          </w:p>
        </w:tc>
        <w:tc>
          <w:tcPr>
            <w:tcW w:w="6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060" w:type="dxa"/>
            <w:vAlign w:val="bottom"/>
            <w:tcBorders>
              <w:left w:val="single" w:sz="8" w:color="auto"/>
              <w:right w:val="single" w:sz="8" w:color="auto"/>
            </w:tcBorders>
          </w:tcPr>
          <w:p>
            <w:pPr>
              <w:spacing w:after="0"/>
              <w:rPr>
                <w:sz w:val="20"/>
                <w:szCs w:val="20"/>
                <w:color w:val="auto"/>
              </w:rPr>
            </w:pPr>
          </w:p>
        </w:tc>
        <w:tc>
          <w:tcPr>
            <w:tcW w:w="23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Hong Kong</w:t>
            </w:r>
          </w:p>
        </w:tc>
        <w:tc>
          <w:tcPr>
            <w:tcW w:w="8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1060" w:type="dxa"/>
            <w:vAlign w:val="bottom"/>
            <w:tcBorders>
              <w:left w:val="single" w:sz="8" w:color="auto"/>
              <w:bottom w:val="single" w:sz="8" w:color="auto"/>
              <w:right w:val="single" w:sz="8" w:color="auto"/>
            </w:tcBorders>
          </w:tcPr>
          <w:p>
            <w:pPr>
              <w:spacing w:after="0"/>
              <w:rPr>
                <w:sz w:val="5"/>
                <w:szCs w:val="5"/>
                <w:color w:val="auto"/>
              </w:rPr>
            </w:pPr>
          </w:p>
        </w:tc>
        <w:tc>
          <w:tcPr>
            <w:tcW w:w="23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9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6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1060" w:type="dxa"/>
            <w:vAlign w:val="bottom"/>
            <w:tcBorders>
              <w:lef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5</w:t>
            </w:r>
          </w:p>
        </w:tc>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380" w:type="dxa"/>
            <w:vAlign w:val="bottom"/>
            <w:tcBorders>
              <w:left w:val="single" w:sz="8" w:color="auto"/>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NUMBER OF SHARES</w:t>
            </w:r>
          </w:p>
        </w:tc>
        <w:tc>
          <w:tcPr>
            <w:tcW w:w="840" w:type="dxa"/>
            <w:vAlign w:val="bottom"/>
            <w:tcBorders>
              <w:bottom w:val="single" w:sz="8" w:color="auto"/>
              <w:right w:val="single" w:sz="8" w:color="auto"/>
            </w:tcBorders>
          </w:tcPr>
          <w:p>
            <w:pPr>
              <w:spacing w:after="0"/>
              <w:rPr>
                <w:sz w:val="20"/>
                <w:szCs w:val="20"/>
                <w:color w:val="auto"/>
              </w:rPr>
            </w:pPr>
          </w:p>
        </w:tc>
        <w:tc>
          <w:tcPr>
            <w:tcW w:w="2980" w:type="dxa"/>
            <w:vAlign w:val="bottom"/>
            <w:tcBorders>
              <w:bottom w:val="single" w:sz="8" w:color="auto"/>
            </w:tcBorders>
          </w:tcPr>
          <w:p>
            <w:pPr>
              <w:ind w:left="100"/>
              <w:spacing w:after="0" w:line="239" w:lineRule="exact"/>
              <w:rPr>
                <w:sz w:val="20"/>
                <w:szCs w:val="20"/>
                <w:color w:val="auto"/>
              </w:rPr>
            </w:pPr>
            <w:r>
              <w:rPr>
                <w:rFonts w:ascii="Times New Roman" w:cs="Times New Roman" w:eastAsia="Times New Roman" w:hAnsi="Times New Roman"/>
                <w:sz w:val="18"/>
                <w:szCs w:val="18"/>
                <w:b w:val="1"/>
                <w:bCs w:val="1"/>
                <w:color w:val="auto"/>
              </w:rPr>
              <w:t>190,232,260</w:t>
            </w:r>
            <w:r>
              <w:rPr>
                <w:rFonts w:ascii="Times New Roman" w:cs="Times New Roman" w:eastAsia="Times New Roman" w:hAnsi="Times New Roman"/>
                <w:sz w:val="23"/>
                <w:szCs w:val="23"/>
                <w:b w:val="1"/>
                <w:bCs w:val="1"/>
                <w:color w:val="auto"/>
                <w:vertAlign w:val="superscript"/>
              </w:rPr>
              <w:t>(1)</w:t>
            </w:r>
          </w:p>
        </w:tc>
        <w:tc>
          <w:tcPr>
            <w:tcW w:w="6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380" w:type="dxa"/>
            <w:vAlign w:val="bottom"/>
            <w:tcBorders>
              <w:left w:val="single" w:sz="8" w:color="auto"/>
              <w:right w:val="single" w:sz="8" w:color="auto"/>
            </w:tcBorders>
            <w:gridSpan w:val="2"/>
            <w:vMerge w:val="continue"/>
          </w:tcPr>
          <w:p>
            <w:pPr>
              <w:spacing w:after="0"/>
              <w:rPr>
                <w:sz w:val="15"/>
                <w:szCs w:val="15"/>
                <w:color w:val="auto"/>
              </w:rPr>
            </w:pPr>
          </w:p>
        </w:tc>
        <w:tc>
          <w:tcPr>
            <w:tcW w:w="840" w:type="dxa"/>
            <w:vAlign w:val="bottom"/>
            <w:tcBorders>
              <w:right w:val="single" w:sz="8" w:color="auto"/>
            </w:tcBorders>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rPr>
              <w:t>6</w:t>
            </w:r>
          </w:p>
        </w:tc>
        <w:tc>
          <w:tcPr>
            <w:tcW w:w="2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3380" w:type="dxa"/>
            <w:vAlign w:val="bottom"/>
            <w:tcBorders>
              <w:left w:val="single" w:sz="8" w:color="auto"/>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BENEFICIALLY</w:t>
            </w:r>
          </w:p>
        </w:tc>
        <w:tc>
          <w:tcPr>
            <w:tcW w:w="840" w:type="dxa"/>
            <w:vAlign w:val="bottom"/>
            <w:tcBorders>
              <w:right w:val="single" w:sz="8" w:color="auto"/>
            </w:tcBorders>
            <w:vMerge w:val="continue"/>
          </w:tcPr>
          <w:p>
            <w:pPr>
              <w:spacing w:after="0"/>
              <w:rPr>
                <w:sz w:val="9"/>
                <w:szCs w:val="9"/>
                <w:color w:val="auto"/>
              </w:rPr>
            </w:pPr>
          </w:p>
        </w:tc>
        <w:tc>
          <w:tcPr>
            <w:tcW w:w="298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3380" w:type="dxa"/>
            <w:vAlign w:val="bottom"/>
            <w:tcBorders>
              <w:left w:val="single" w:sz="8" w:color="auto"/>
              <w:right w:val="single" w:sz="8" w:color="auto"/>
            </w:tcBorders>
            <w:gridSpan w:val="2"/>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29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0</w:t>
            </w: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380" w:type="dxa"/>
            <w:vAlign w:val="bottom"/>
            <w:tcBorders>
              <w:left w:val="single" w:sz="8" w:color="auto"/>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OWNED BY EACH</w:t>
            </w:r>
          </w:p>
        </w:tc>
        <w:tc>
          <w:tcPr>
            <w:tcW w:w="840" w:type="dxa"/>
            <w:vAlign w:val="bottom"/>
            <w:tcBorders>
              <w:bottom w:val="single" w:sz="8" w:color="auto"/>
              <w:right w:val="single" w:sz="8" w:color="auto"/>
            </w:tcBorders>
          </w:tcPr>
          <w:p>
            <w:pPr>
              <w:spacing w:after="0"/>
              <w:rPr>
                <w:sz w:val="10"/>
                <w:szCs w:val="10"/>
                <w:color w:val="auto"/>
              </w:rPr>
            </w:pPr>
          </w:p>
        </w:tc>
        <w:tc>
          <w:tcPr>
            <w:tcW w:w="2980" w:type="dxa"/>
            <w:vAlign w:val="bottom"/>
            <w:tcBorders>
              <w:bottom w:val="single" w:sz="8" w:color="auto"/>
            </w:tcBorders>
            <w:vMerge w:val="continue"/>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3380" w:type="dxa"/>
            <w:vAlign w:val="bottom"/>
            <w:tcBorders>
              <w:left w:val="single" w:sz="8" w:color="auto"/>
              <w:right w:val="single" w:sz="8" w:color="auto"/>
            </w:tcBorders>
            <w:gridSpan w:val="2"/>
            <w:vMerge w:val="continue"/>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29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33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REPORTING PERSON</w:t>
            </w:r>
          </w:p>
        </w:tc>
        <w:tc>
          <w:tcPr>
            <w:tcW w:w="84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7</w:t>
            </w:r>
          </w:p>
        </w:tc>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WITH</w:t>
            </w:r>
          </w:p>
        </w:tc>
        <w:tc>
          <w:tcPr>
            <w:tcW w:w="2320" w:type="dxa"/>
            <w:vAlign w:val="bottom"/>
            <w:tcBorders>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2980" w:type="dxa"/>
            <w:vAlign w:val="bottom"/>
            <w:tcBorders>
              <w:bottom w:val="single" w:sz="8" w:color="auto"/>
            </w:tcBorders>
          </w:tcPr>
          <w:p>
            <w:pPr>
              <w:ind w:left="100"/>
              <w:spacing w:after="0" w:line="239" w:lineRule="exact"/>
              <w:rPr>
                <w:sz w:val="20"/>
                <w:szCs w:val="20"/>
                <w:color w:val="auto"/>
              </w:rPr>
            </w:pPr>
            <w:r>
              <w:rPr>
                <w:rFonts w:ascii="Times New Roman" w:cs="Times New Roman" w:eastAsia="Times New Roman" w:hAnsi="Times New Roman"/>
                <w:sz w:val="18"/>
                <w:szCs w:val="18"/>
                <w:b w:val="1"/>
                <w:bCs w:val="1"/>
                <w:color w:val="auto"/>
              </w:rPr>
              <w:t>190,232,260</w:t>
            </w:r>
            <w:r>
              <w:rPr>
                <w:rFonts w:ascii="Times New Roman" w:cs="Times New Roman" w:eastAsia="Times New Roman" w:hAnsi="Times New Roman"/>
                <w:sz w:val="23"/>
                <w:szCs w:val="23"/>
                <w:b w:val="1"/>
                <w:bCs w:val="1"/>
                <w:color w:val="auto"/>
                <w:vertAlign w:val="superscript"/>
              </w:rPr>
              <w:t>(1)</w:t>
            </w:r>
          </w:p>
        </w:tc>
        <w:tc>
          <w:tcPr>
            <w:tcW w:w="6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1060" w:type="dxa"/>
            <w:vAlign w:val="bottom"/>
            <w:tcBorders>
              <w:lef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8</w:t>
            </w:r>
          </w:p>
        </w:tc>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060" w:type="dxa"/>
            <w:vAlign w:val="bottom"/>
            <w:tcBorders>
              <w:left w:val="single" w:sz="8" w:color="auto"/>
              <w:bottom w:val="single" w:sz="8" w:color="auto"/>
            </w:tcBorders>
          </w:tcPr>
          <w:p>
            <w:pPr>
              <w:spacing w:after="0"/>
              <w:rPr>
                <w:sz w:val="20"/>
                <w:szCs w:val="20"/>
                <w:color w:val="auto"/>
              </w:rPr>
            </w:pPr>
          </w:p>
        </w:tc>
        <w:tc>
          <w:tcPr>
            <w:tcW w:w="232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29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0</w:t>
            </w:r>
          </w:p>
        </w:tc>
        <w:tc>
          <w:tcPr>
            <w:tcW w:w="6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1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9</w:t>
            </w:r>
          </w:p>
        </w:tc>
        <w:tc>
          <w:tcPr>
            <w:tcW w:w="6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060" w:type="dxa"/>
            <w:vAlign w:val="bottom"/>
            <w:tcBorders>
              <w:left w:val="single" w:sz="8" w:color="auto"/>
              <w:right w:val="single" w:sz="8" w:color="auto"/>
            </w:tcBorders>
          </w:tcPr>
          <w:p>
            <w:pPr>
              <w:spacing w:after="0"/>
              <w:rPr>
                <w:sz w:val="18"/>
                <w:szCs w:val="18"/>
                <w:color w:val="auto"/>
              </w:rPr>
            </w:pPr>
          </w:p>
        </w:tc>
        <w:tc>
          <w:tcPr>
            <w:tcW w:w="2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REPORTING PERSON</w:t>
            </w:r>
          </w:p>
        </w:tc>
        <w:tc>
          <w:tcPr>
            <w:tcW w:w="8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7"/>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2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190,232,260</w:t>
            </w:r>
            <w:r>
              <w:rPr>
                <w:rFonts w:ascii="Times New Roman" w:cs="Times New Roman" w:eastAsia="Times New Roman" w:hAnsi="Times New Roman"/>
                <w:sz w:val="23"/>
                <w:szCs w:val="23"/>
                <w:b w:val="1"/>
                <w:bCs w:val="1"/>
                <w:color w:val="auto"/>
                <w:vertAlign w:val="superscript"/>
              </w:rPr>
              <w:t>(1)</w:t>
            </w:r>
          </w:p>
        </w:tc>
        <w:tc>
          <w:tcPr>
            <w:tcW w:w="8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10</w:t>
            </w:r>
          </w:p>
        </w:tc>
        <w:tc>
          <w:tcPr>
            <w:tcW w:w="6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(9)</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60" w:type="dxa"/>
            <w:vAlign w:val="bottom"/>
            <w:tcBorders>
              <w:left w:val="single" w:sz="8" w:color="auto"/>
              <w:right w:val="single" w:sz="8" w:color="auto"/>
            </w:tcBorders>
          </w:tcPr>
          <w:p>
            <w:pPr>
              <w:spacing w:after="0"/>
              <w:rPr>
                <w:sz w:val="20"/>
                <w:szCs w:val="20"/>
                <w:color w:val="auto"/>
              </w:rPr>
            </w:pPr>
          </w:p>
        </w:tc>
        <w:tc>
          <w:tcPr>
            <w:tcW w:w="6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EXCLUDES CERTAIN SHARES (SEE INSTRUCTIONS)</w:t>
            </w: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1060" w:type="dxa"/>
            <w:vAlign w:val="bottom"/>
            <w:tcBorders>
              <w:left w:val="single" w:sz="8" w:color="auto"/>
              <w:bottom w:val="single" w:sz="8" w:color="auto"/>
              <w:right w:val="single" w:sz="8" w:color="auto"/>
            </w:tcBorders>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9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w:t>
            </w:r>
          </w:p>
        </w:tc>
        <w:tc>
          <w:tcPr>
            <w:tcW w:w="6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2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18.3%</w:t>
            </w:r>
            <w:r>
              <w:rPr>
                <w:rFonts w:ascii="Times New Roman" w:cs="Times New Roman" w:eastAsia="Times New Roman" w:hAnsi="Times New Roman"/>
                <w:sz w:val="23"/>
                <w:szCs w:val="23"/>
                <w:b w:val="1"/>
                <w:bCs w:val="1"/>
                <w:color w:val="auto"/>
                <w:vertAlign w:val="superscript"/>
              </w:rPr>
              <w:t>(2)</w:t>
            </w:r>
          </w:p>
        </w:tc>
        <w:tc>
          <w:tcPr>
            <w:tcW w:w="8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12</w:t>
            </w:r>
          </w:p>
        </w:tc>
        <w:tc>
          <w:tcPr>
            <w:tcW w:w="6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060" w:type="dxa"/>
            <w:vAlign w:val="bottom"/>
            <w:tcBorders>
              <w:left w:val="single" w:sz="8" w:color="auto"/>
              <w:right w:val="single" w:sz="8" w:color="auto"/>
            </w:tcBorders>
          </w:tcPr>
          <w:p>
            <w:pPr>
              <w:spacing w:after="0"/>
              <w:rPr>
                <w:sz w:val="20"/>
                <w:szCs w:val="20"/>
                <w:color w:val="auto"/>
              </w:rPr>
            </w:pPr>
          </w:p>
        </w:tc>
        <w:tc>
          <w:tcPr>
            <w:tcW w:w="23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IN</w:t>
            </w:r>
          </w:p>
        </w:tc>
        <w:tc>
          <w:tcPr>
            <w:tcW w:w="8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1060" w:type="dxa"/>
            <w:vAlign w:val="bottom"/>
            <w:tcBorders>
              <w:left w:val="single" w:sz="8" w:color="auto"/>
              <w:bottom w:val="single" w:sz="8" w:color="auto"/>
              <w:right w:val="single" w:sz="8" w:color="auto"/>
            </w:tcBorders>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9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7659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40" w:right="260" w:hanging="332"/>
        <w:spacing w:after="0" w:line="261" w:lineRule="auto"/>
        <w:tabs>
          <w:tab w:leader="none" w:pos="34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190,232,260 Class A common shares in the form of 9,511,613 ADSs (excluding 45,638 ADSs contracted for sales as of December 31, 2020, which were all settled as of the date hereof) held by SAIF IV Healthcare (BVI) Limited, which is wholly owned by SAIF Partners IV L.P., whose general partner is SAIF IV GP, L.P., whose general partner in turn is SAIF IV GP Capital Ltd., which is wholly owned by Andrew Y. Yan, as further disclosed in Item 4.</w:t>
      </w:r>
    </w:p>
    <w:p>
      <w:pPr>
        <w:spacing w:after="0" w:line="179" w:lineRule="exact"/>
        <w:rPr>
          <w:rFonts w:ascii="Times New Roman" w:cs="Times New Roman" w:eastAsia="Times New Roman" w:hAnsi="Times New Roman"/>
          <w:sz w:val="18"/>
          <w:szCs w:val="18"/>
          <w:color w:val="auto"/>
        </w:rPr>
      </w:pPr>
    </w:p>
    <w:p>
      <w:pPr>
        <w:ind w:left="340" w:right="100" w:hanging="332"/>
        <w:spacing w:after="0" w:line="258" w:lineRule="auto"/>
        <w:tabs>
          <w:tab w:leader="none" w:pos="34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1,039,805,653 common shares issued and outstanding as of March 31, 2020, including (i) 889,214,446 Class A common shares, and (ii) 150,591,207 Class B common shares, as reported in the Issuer’s annual report on Form 20-F for the fiscal year ended December 31, 2019. In respect of all matters subject to a shareholders’ vote, each Class A common share is entitled to one vote, and each Class B common share is entitled to 15 votes, voting together as a single class. Each Class B common share is convertible into one Class A common share at any time at the option of the holder thereof. Class A common shares are not convertible into Class B common shares under any circumstances.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532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27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44473E105**</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6"/>
              </w:rPr>
              <w:t>13G</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14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 of Issuer:</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Huize Holding Limited</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3800" w:type="dxa"/>
            <w:vAlign w:val="bottom"/>
            <w:gridSpan w:val="8"/>
          </w:tcPr>
          <w:p>
            <w:pPr>
              <w:ind w:left="40"/>
              <w:spacing w:after="0"/>
              <w:rPr>
                <w:sz w:val="20"/>
                <w:szCs w:val="20"/>
                <w:color w:val="auto"/>
              </w:rPr>
            </w:pPr>
            <w:r>
              <w:rPr>
                <w:rFonts w:ascii="Times New Roman" w:cs="Times New Roman" w:eastAsia="Times New Roman" w:hAnsi="Times New Roman"/>
                <w:sz w:val="18"/>
                <w:szCs w:val="18"/>
                <w:b w:val="1"/>
                <w:bCs w:val="1"/>
                <w:color w:val="auto"/>
              </w:rPr>
              <w:t>Address of Issuer’s principal executive offices:</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300" w:type="dxa"/>
            <w:vAlign w:val="bottom"/>
          </w:tcPr>
          <w:p>
            <w:pPr>
              <w:spacing w:after="0"/>
              <w:rPr>
                <w:sz w:val="24"/>
                <w:szCs w:val="24"/>
                <w:color w:val="auto"/>
              </w:rPr>
            </w:pPr>
          </w:p>
        </w:tc>
        <w:tc>
          <w:tcPr>
            <w:tcW w:w="1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5/F, Building 3-4</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1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Shenzhen Animation Park, Yuehai Road, Nanhai Avenue</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00" w:type="dxa"/>
            <w:vAlign w:val="bottom"/>
          </w:tcPr>
          <w:p>
            <w:pPr>
              <w:spacing w:after="0"/>
              <w:rPr>
                <w:sz w:val="20"/>
                <w:szCs w:val="20"/>
                <w:color w:val="auto"/>
              </w:rPr>
            </w:pPr>
          </w:p>
        </w:tc>
        <w:tc>
          <w:tcPr>
            <w:tcW w:w="516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rPr>
              <w:t>Nanshan District, Shenzhen 518052, People’s Republic of China</w:t>
            </w: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Items 2(a)</w:t>
            </w:r>
          </w:p>
        </w:tc>
        <w:tc>
          <w:tcPr>
            <w:tcW w:w="26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Name of Reporting Persons filing:</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 SAIF IV Healthcare (BVI) Limited,</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(ii) SAIF Partners IV L.P.,</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(iii) SAIF IV GP, L.P.,</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(iv) SAIF IV GP Capital Ltd., and</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7"/>
              </w:rPr>
              <w:t>(v) Andrew Y. Yan</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(collectively, the “Reporting Persons”).</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5"/>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2(b)</w:t>
            </w:r>
          </w:p>
        </w:tc>
        <w:tc>
          <w:tcPr>
            <w:tcW w:w="5160" w:type="dxa"/>
            <w:vAlign w:val="bottom"/>
            <w:gridSpan w:val="10"/>
          </w:tcPr>
          <w:p>
            <w:pPr>
              <w:ind w:left="40"/>
              <w:spacing w:after="0"/>
              <w:rPr>
                <w:sz w:val="20"/>
                <w:szCs w:val="20"/>
                <w:color w:val="auto"/>
              </w:rPr>
            </w:pPr>
            <w:r>
              <w:rPr>
                <w:rFonts w:ascii="Times New Roman" w:cs="Times New Roman" w:eastAsia="Times New Roman" w:hAnsi="Times New Roman"/>
                <w:sz w:val="18"/>
                <w:szCs w:val="18"/>
                <w:b w:val="1"/>
                <w:bCs w:val="1"/>
                <w:color w:val="auto"/>
              </w:rPr>
              <w:t>Address or principal business office or, if none, residence:</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51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Suites 2516-2520, Two Pacific Place, 88 Queensway, Hong Kong</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14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300" w:type="dxa"/>
            <w:vAlign w:val="bottom"/>
          </w:tcPr>
          <w:p>
            <w:pPr>
              <w:spacing w:after="0"/>
              <w:rPr>
                <w:sz w:val="24"/>
                <w:szCs w:val="24"/>
                <w:color w:val="auto"/>
              </w:rPr>
            </w:pPr>
          </w:p>
        </w:tc>
        <w:tc>
          <w:tcPr>
            <w:tcW w:w="51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 SAIF IV Healthcare (BVI) Limited — British Virgin Islands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(ii) SAIF Partners IV L.P. — Cayman Islands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(iii) SAIF IV GP, L.P. — Cayman Islands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(iv) SAIF IV GP Capital Ltd. — Cayman Islands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00" w:type="dxa"/>
            <w:vAlign w:val="bottom"/>
          </w:tcPr>
          <w:p>
            <w:pPr>
              <w:spacing w:after="0"/>
              <w:rPr>
                <w:sz w:val="20"/>
                <w:szCs w:val="20"/>
                <w:color w:val="auto"/>
              </w:rPr>
            </w:pPr>
          </w:p>
        </w:tc>
        <w:tc>
          <w:tcPr>
            <w:tcW w:w="26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(v) Andrew Y. Yan — Hong Kong</w:t>
            </w: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2(d)</w:t>
            </w:r>
          </w:p>
        </w:tc>
        <w:tc>
          <w:tcPr>
            <w:tcW w:w="266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51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Class A common shares, par value US$0.00001 per share</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2(e)</w:t>
            </w:r>
          </w:p>
        </w:tc>
        <w:tc>
          <w:tcPr>
            <w:tcW w:w="14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CUSIP No.:</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89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44473E105. This CUSIP number applies to the ADSs of the Issuer, each representing 20 Class A common shares.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5"/>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8940" w:type="dxa"/>
            <w:vAlign w:val="bottom"/>
            <w:gridSpan w:val="16"/>
          </w:tcPr>
          <w:p>
            <w:pPr>
              <w:ind w:left="20"/>
              <w:spacing w:after="0"/>
              <w:rPr>
                <w:sz w:val="20"/>
                <w:szCs w:val="20"/>
                <w:color w:val="auto"/>
              </w:rPr>
            </w:pPr>
            <w:r>
              <w:rPr>
                <w:rFonts w:ascii="Times New Roman" w:cs="Times New Roman" w:eastAsia="Times New Roman" w:hAnsi="Times New Roman"/>
                <w:sz w:val="18"/>
                <w:szCs w:val="18"/>
                <w:b w:val="1"/>
                <w:bCs w:val="1"/>
                <w:color w:val="auto"/>
              </w:rPr>
              <w:t>If this statement is filed pursuant to §§240.13d-1(b), or 240.13d-2(b) or (c), check whether the persons filing is a:</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1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4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300" w:type="dxa"/>
            <w:vAlign w:val="bottom"/>
          </w:tcPr>
          <w:p>
            <w:pPr>
              <w:spacing w:after="0"/>
              <w:rPr>
                <w:sz w:val="24"/>
                <w:szCs w:val="24"/>
                <w:color w:val="auto"/>
              </w:rPr>
            </w:pPr>
          </w:p>
        </w:tc>
        <w:tc>
          <w:tcPr>
            <w:tcW w:w="99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The following information with respect to the ownership of Class A common shares of the Issuer by the Reporting Persons filing this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51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statement on Schedule 13G was provided as of December 31, 2020.</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Shared</w:t>
            </w:r>
          </w:p>
        </w:tc>
        <w:tc>
          <w:tcPr>
            <w:tcW w:w="13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Sole</w:t>
            </w:r>
          </w:p>
        </w:tc>
        <w:tc>
          <w:tcPr>
            <w:tcW w:w="10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13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3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Sole Voting</w:t>
            </w:r>
          </w:p>
        </w:tc>
        <w:tc>
          <w:tcPr>
            <w:tcW w:w="110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Reporting Persons</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140" w:type="dxa"/>
            <w:vAlign w:val="bottom"/>
            <w:gridSpan w:val="2"/>
            <w:vMerge w:val="continue"/>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voting</w:t>
            </w:r>
          </w:p>
        </w:tc>
        <w:tc>
          <w:tcPr>
            <w:tcW w:w="1340" w:type="dxa"/>
            <w:vAlign w:val="bottom"/>
            <w:gridSpan w:val="2"/>
            <w:vMerge w:val="continue"/>
          </w:tcPr>
          <w:p>
            <w:pPr>
              <w:spacing w:after="0"/>
              <w:rPr>
                <w:sz w:val="12"/>
                <w:szCs w:val="12"/>
                <w:color w:val="auto"/>
              </w:rPr>
            </w:pPr>
          </w:p>
        </w:tc>
        <w:tc>
          <w:tcPr>
            <w:tcW w:w="110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Voting</w:t>
            </w:r>
          </w:p>
        </w:tc>
        <w:tc>
          <w:tcPr>
            <w:tcW w:w="13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Dispositive</w:t>
            </w:r>
          </w:p>
        </w:tc>
        <w:tc>
          <w:tcPr>
            <w:tcW w:w="10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Dispositive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3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140" w:type="dxa"/>
            <w:vAlign w:val="bottom"/>
            <w:gridSpan w:val="2"/>
          </w:tcPr>
          <w:p>
            <w:pPr>
              <w:jc w:val="right"/>
              <w:ind w:right="460"/>
              <w:spacing w:after="0" w:line="173" w:lineRule="exact"/>
              <w:rPr>
                <w:sz w:val="20"/>
                <w:szCs w:val="20"/>
                <w:color w:val="auto"/>
              </w:rPr>
            </w:pPr>
            <w:r>
              <w:rPr>
                <w:rFonts w:ascii="Times New Roman" w:cs="Times New Roman" w:eastAsia="Times New Roman" w:hAnsi="Times New Roman"/>
                <w:sz w:val="14"/>
                <w:szCs w:val="14"/>
                <w:b w:val="1"/>
                <w:bCs w:val="1"/>
                <w:color w:val="auto"/>
              </w:rPr>
              <w:t>Class</w:t>
            </w:r>
            <w:r>
              <w:rPr>
                <w:rFonts w:ascii="Times New Roman" w:cs="Times New Roman" w:eastAsia="Times New Roman" w:hAnsi="Times New Roman"/>
                <w:sz w:val="17"/>
                <w:szCs w:val="17"/>
                <w:b w:val="1"/>
                <w:bCs w:val="1"/>
                <w:color w:val="auto"/>
                <w:vertAlign w:val="superscript"/>
              </w:rPr>
              <w:t>(1)</w:t>
            </w:r>
          </w:p>
        </w:tc>
        <w:tc>
          <w:tcPr>
            <w:tcW w:w="1360" w:type="dxa"/>
            <w:vAlign w:val="bottom"/>
            <w:gridSpan w:val="2"/>
          </w:tcPr>
          <w:p>
            <w:pPr>
              <w:jc w:val="center"/>
              <w:ind w:right="240"/>
              <w:spacing w:after="0" w:line="173" w:lineRule="exact"/>
              <w:rPr>
                <w:sz w:val="20"/>
                <w:szCs w:val="20"/>
                <w:color w:val="auto"/>
              </w:rPr>
            </w:pPr>
            <w:r>
              <w:rPr>
                <w:rFonts w:ascii="Times New Roman" w:cs="Times New Roman" w:eastAsia="Times New Roman" w:hAnsi="Times New Roman"/>
                <w:sz w:val="14"/>
                <w:szCs w:val="14"/>
                <w:b w:val="1"/>
                <w:bCs w:val="1"/>
                <w:color w:val="auto"/>
                <w:w w:val="94"/>
              </w:rPr>
              <w:t>power</w:t>
            </w:r>
            <w:r>
              <w:rPr>
                <w:rFonts w:ascii="Times New Roman" w:cs="Times New Roman" w:eastAsia="Times New Roman" w:hAnsi="Times New Roman"/>
                <w:sz w:val="17"/>
                <w:szCs w:val="17"/>
                <w:b w:val="1"/>
                <w:bCs w:val="1"/>
                <w:color w:val="auto"/>
                <w:w w:val="94"/>
                <w:vertAlign w:val="superscript"/>
              </w:rPr>
              <w:t>(2)</w:t>
            </w:r>
          </w:p>
        </w:tc>
        <w:tc>
          <w:tcPr>
            <w:tcW w:w="13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13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Power</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380" w:type="dxa"/>
            <w:vAlign w:val="bottom"/>
            <w:tcBorders>
              <w:top w:val="single" w:sz="8" w:color="auto"/>
            </w:tcBorders>
            <w:gridSpan w:val="3"/>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SAIF IV Healthcare (BVI)</w:t>
            </w: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w:t>
            </w: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190,232,260</w:t>
            </w:r>
            <w:r>
              <w:rPr>
                <w:rFonts w:ascii="Times New Roman" w:cs="Times New Roman" w:eastAsia="Times New Roman" w:hAnsi="Times New Roman"/>
                <w:sz w:val="11"/>
                <w:szCs w:val="11"/>
                <w:color w:val="auto"/>
              </w:rPr>
              <w:t>(3)</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18.3%</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c>
          <w:tcPr>
            <w:tcW w:w="1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190,232,260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190,232,260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SAIF Partners IV L.P.</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190,232,260</w:t>
            </w:r>
            <w:r>
              <w:rPr>
                <w:rFonts w:ascii="Times New Roman" w:cs="Times New Roman" w:eastAsia="Times New Roman" w:hAnsi="Times New Roman"/>
                <w:sz w:val="11"/>
                <w:szCs w:val="11"/>
                <w:color w:val="auto"/>
              </w:rPr>
              <w:t>(3)</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18.3%</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190,232,260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190,232,260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SAIF IV GP, L.P.</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190,232,260</w:t>
            </w:r>
            <w:r>
              <w:rPr>
                <w:rFonts w:ascii="Times New Roman" w:cs="Times New Roman" w:eastAsia="Times New Roman" w:hAnsi="Times New Roman"/>
                <w:sz w:val="11"/>
                <w:szCs w:val="11"/>
                <w:color w:val="auto"/>
              </w:rPr>
              <w:t>(3)</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18.3%</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c>
          <w:tcPr>
            <w:tcW w:w="1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190,232,260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190,232,260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SAIF IV GP Capital Ltd.</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190,232,260</w:t>
            </w:r>
            <w:r>
              <w:rPr>
                <w:rFonts w:ascii="Times New Roman" w:cs="Times New Roman" w:eastAsia="Times New Roman" w:hAnsi="Times New Roman"/>
                <w:sz w:val="11"/>
                <w:szCs w:val="11"/>
                <w:color w:val="auto"/>
              </w:rPr>
              <w:t>(3)</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18.3%</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190,232,260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190,232,260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Y. Yan</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190,232,260</w:t>
            </w:r>
            <w:r>
              <w:rPr>
                <w:rFonts w:ascii="Times New Roman" w:cs="Times New Roman" w:eastAsia="Times New Roman" w:hAnsi="Times New Roman"/>
                <w:sz w:val="11"/>
                <w:szCs w:val="11"/>
                <w:color w:val="auto"/>
              </w:rPr>
              <w:t>(3)</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18.3%</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c>
          <w:tcPr>
            <w:tcW w:w="1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190,232,260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190,232,260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center"/>
              <w:ind w:right="18"/>
              <w:spacing w:after="0"/>
              <w:rPr>
                <w:sz w:val="20"/>
                <w:szCs w:val="20"/>
                <w:color w:val="auto"/>
              </w:rPr>
            </w:pPr>
            <w:r>
              <w:rPr>
                <w:rFonts w:ascii="Times New Roman" w:cs="Times New Roman" w:eastAsia="Times New Roman" w:hAnsi="Times New Roman"/>
                <w:sz w:val="18"/>
                <w:szCs w:val="18"/>
                <w:color w:val="auto"/>
                <w:w w:val="88"/>
              </w:rPr>
              <w:t>6</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3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3" w:right="2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44473E105**</w:t>
            </w:r>
          </w:p>
        </w:tc>
        <w:tc>
          <w:tcPr>
            <w:tcW w:w="2100" w:type="dxa"/>
            <w:vAlign w:val="bottom"/>
          </w:tcPr>
          <w:p>
            <w:pPr>
              <w:ind w:left="1800"/>
              <w:spacing w:after="0"/>
              <w:rPr>
                <w:sz w:val="20"/>
                <w:szCs w:val="20"/>
                <w:color w:val="auto"/>
              </w:rPr>
            </w:pPr>
            <w:r>
              <w:rPr>
                <w:rFonts w:ascii="Times New Roman" w:cs="Times New Roman" w:eastAsia="Times New Roman" w:hAnsi="Times New Roman"/>
                <w:sz w:val="18"/>
                <w:szCs w:val="18"/>
                <w:color w:val="auto"/>
                <w:w w:val="90"/>
              </w:rPr>
              <w:t>13G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002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60" w:right="220" w:hanging="409"/>
        <w:spacing w:after="0" w:line="261" w:lineRule="auto"/>
        <w:tabs>
          <w:tab w:leader="none" w:pos="67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Calculation is based on 1,039,805,653 common shares issued and outstanding as of March 31, 2020, including (i) 889,214,446 Class A common shares, and (ii) 150,591,207 Class B common shares, as reported in the Issuer’s annual report on Form 20-F for the fiscal year ended December 31, 2019. Each Class B common share is convertible into one Class A common share at any time at the option of the holder thereof. Class A common shares are not convertible into Class B common shares under any circumstances.</w:t>
      </w:r>
    </w:p>
    <w:p>
      <w:pPr>
        <w:spacing w:after="0" w:line="179" w:lineRule="exact"/>
        <w:rPr>
          <w:rFonts w:ascii="Times New Roman" w:cs="Times New Roman" w:eastAsia="Times New Roman" w:hAnsi="Times New Roman"/>
          <w:sz w:val="18"/>
          <w:szCs w:val="18"/>
          <w:color w:val="auto"/>
        </w:rPr>
      </w:pPr>
    </w:p>
    <w:p>
      <w:pPr>
        <w:ind w:left="660" w:right="40" w:hanging="409"/>
        <w:spacing w:after="0" w:line="261" w:lineRule="auto"/>
        <w:tabs>
          <w:tab w:leader="none" w:pos="67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aggregate voting power beneficially owned by each Reporting Person is calculated by dividing the voting power beneficially owned by such Reporting Person by the voting power of all of Class A Common shares and Class B Common shares as a single class. In respect of all matters subject to a shareholders’ vote, each Class B Common share is entitled to 15 votes per share, whereas each Class A Common share is entitled to one vote.</w:t>
      </w:r>
    </w:p>
    <w:p>
      <w:pPr>
        <w:spacing w:after="0" w:line="179" w:lineRule="exact"/>
        <w:rPr>
          <w:rFonts w:ascii="Times New Roman" w:cs="Times New Roman" w:eastAsia="Times New Roman" w:hAnsi="Times New Roman"/>
          <w:sz w:val="18"/>
          <w:szCs w:val="18"/>
          <w:color w:val="auto"/>
        </w:rPr>
      </w:pPr>
    </w:p>
    <w:p>
      <w:pPr>
        <w:ind w:left="660" w:right="120" w:hanging="409"/>
        <w:spacing w:after="0" w:line="254" w:lineRule="auto"/>
        <w:tabs>
          <w:tab w:leader="none" w:pos="67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190,232,260 Class A common shares in the form of 9,511,613 ADSs (excluding 45,638 ADSs contracted for sales as of December 31, 2020, which were all settled as of the date hereof) held by SAIF IV Healthcare (BVI) Limited, whose registered address is Kingston Chambers, PO Box 173, Road Town, Tortola, British Virgin Islands. SAIF IV Healthcare (BVI) Limited is wholly owned by SAIF Partners IV L.P., whose general partner is SAIF IV GP, L.P., whose general partner in turn is SAIF IV GP Capital Ltd., which is wholly owned by Andrew Y. Yan. Pursuant to Section 13(d) of the Securities Exchange Act of 1934, as amended, and the rules promulgated thereunder, each of SAIF Partners IV L.P., SAIF IV GP, L.P., SAIF IV GP Capital Ltd. and Andrew Y. Yan may be deemed to beneficially own all of the shares of the Issuer owned by SAIF IV Healthcare (BVI) Limited. Andrew Y. Yan disclaims beneficial ownership of the shares held by SAIF IV Healthcare (BVI) Limited, except to the extent of his pecuniary interests therein.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03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Ownership of Five Percent or Less of a Class</w:t>
            </w:r>
          </w:p>
        </w:tc>
      </w:tr>
      <w:tr>
        <w:trPr>
          <w:trHeight w:val="432"/>
        </w:trPr>
        <w:tc>
          <w:tcPr>
            <w:tcW w:w="940" w:type="dxa"/>
            <w:vAlign w:val="bottom"/>
          </w:tcPr>
          <w:p>
            <w:pPr>
              <w:spacing w:after="0"/>
              <w:rPr>
                <w:sz w:val="24"/>
                <w:szCs w:val="24"/>
                <w:color w:val="auto"/>
              </w:rPr>
            </w:pP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3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tc>
      </w:tr>
      <w:tr>
        <w:trPr>
          <w:trHeight w:val="432"/>
        </w:trPr>
        <w:tc>
          <w:tcPr>
            <w:tcW w:w="940" w:type="dxa"/>
            <w:vAlign w:val="bottom"/>
          </w:tcPr>
          <w:p>
            <w:pPr>
              <w:spacing w:after="0"/>
              <w:rPr>
                <w:sz w:val="24"/>
                <w:szCs w:val="24"/>
                <w:color w:val="auto"/>
              </w:rPr>
            </w:pP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10"/>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103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w:t>
            </w:r>
          </w:p>
        </w:tc>
      </w:tr>
      <w:tr>
        <w:trPr>
          <w:trHeight w:val="238"/>
        </w:trPr>
        <w:tc>
          <w:tcPr>
            <w:tcW w:w="94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Company or Control Person</w:t>
            </w:r>
          </w:p>
        </w:tc>
      </w:tr>
      <w:tr>
        <w:trPr>
          <w:trHeight w:val="432"/>
        </w:trPr>
        <w:tc>
          <w:tcPr>
            <w:tcW w:w="940" w:type="dxa"/>
            <w:vAlign w:val="bottom"/>
          </w:tcPr>
          <w:p>
            <w:pPr>
              <w:spacing w:after="0"/>
              <w:rPr>
                <w:sz w:val="24"/>
                <w:szCs w:val="24"/>
                <w:color w:val="auto"/>
              </w:rPr>
            </w:pP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3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tc>
      </w:tr>
      <w:tr>
        <w:trPr>
          <w:trHeight w:val="432"/>
        </w:trPr>
        <w:tc>
          <w:tcPr>
            <w:tcW w:w="940" w:type="dxa"/>
            <w:vAlign w:val="bottom"/>
          </w:tcPr>
          <w:p>
            <w:pPr>
              <w:spacing w:after="0"/>
              <w:rPr>
                <w:sz w:val="24"/>
                <w:szCs w:val="24"/>
                <w:color w:val="auto"/>
              </w:rPr>
            </w:pP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103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tc>
      </w:tr>
      <w:tr>
        <w:trPr>
          <w:trHeight w:val="432"/>
        </w:trPr>
        <w:tc>
          <w:tcPr>
            <w:tcW w:w="940" w:type="dxa"/>
            <w:vAlign w:val="bottom"/>
          </w:tcPr>
          <w:p>
            <w:pPr>
              <w:spacing w:after="0"/>
              <w:rPr>
                <w:sz w:val="24"/>
                <w:szCs w:val="24"/>
                <w:color w:val="auto"/>
              </w:rPr>
            </w:pP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Certifications</w:t>
            </w:r>
          </w:p>
        </w:tc>
      </w:tr>
      <w:tr>
        <w:trPr>
          <w:trHeight w:val="432"/>
        </w:trPr>
        <w:tc>
          <w:tcPr>
            <w:tcW w:w="940" w:type="dxa"/>
            <w:vAlign w:val="bottom"/>
          </w:tcPr>
          <w:p>
            <w:pPr>
              <w:spacing w:after="0"/>
              <w:rPr>
                <w:sz w:val="24"/>
                <w:szCs w:val="24"/>
                <w:color w:val="auto"/>
              </w:rPr>
            </w:pP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940" w:type="dxa"/>
            <w:vAlign w:val="bottom"/>
          </w:tcPr>
          <w:p>
            <w:pPr>
              <w:spacing w:after="0"/>
              <w:rPr>
                <w:sz w:val="24"/>
                <w:szCs w:val="24"/>
                <w:color w:val="auto"/>
              </w:rPr>
            </w:pPr>
          </w:p>
        </w:tc>
        <w:tc>
          <w:tcPr>
            <w:tcW w:w="10340" w:type="dxa"/>
            <w:vAlign w:val="bottom"/>
          </w:tcPr>
          <w:p>
            <w:pPr>
              <w:ind w:left="4640"/>
              <w:spacing w:after="0"/>
              <w:rPr>
                <w:sz w:val="20"/>
                <w:szCs w:val="20"/>
                <w:color w:val="auto"/>
              </w:rPr>
            </w:pPr>
            <w:r>
              <w:rPr>
                <w:rFonts w:ascii="Times New Roman" w:cs="Times New Roman" w:eastAsia="Times New Roman" w:hAnsi="Times New Roman"/>
                <w:sz w:val="18"/>
                <w:szCs w:val="18"/>
                <w:color w:val="auto"/>
              </w:rPr>
              <w:t>7</w:t>
            </w:r>
          </w:p>
        </w:tc>
      </w:tr>
      <w:tr>
        <w:trPr>
          <w:trHeight w:val="132"/>
        </w:trPr>
        <w:tc>
          <w:tcPr>
            <w:tcW w:w="940" w:type="dxa"/>
            <w:vAlign w:val="bottom"/>
            <w:tcBorders>
              <w:bottom w:val="single" w:sz="8" w:color="808080"/>
            </w:tcBorders>
          </w:tcPr>
          <w:p>
            <w:pPr>
              <w:spacing w:after="0"/>
              <w:rPr>
                <w:sz w:val="11"/>
                <w:szCs w:val="11"/>
                <w:color w:val="auto"/>
              </w:rPr>
            </w:pPr>
          </w:p>
        </w:tc>
        <w:tc>
          <w:tcPr>
            <w:tcW w:w="103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3" w:right="2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44473E105**</w:t>
            </w:r>
          </w:p>
        </w:tc>
        <w:tc>
          <w:tcPr>
            <w:tcW w:w="2100" w:type="dxa"/>
            <w:vAlign w:val="bottom"/>
          </w:tcPr>
          <w:p>
            <w:pPr>
              <w:ind w:left="1800"/>
              <w:spacing w:after="0"/>
              <w:rPr>
                <w:sz w:val="20"/>
                <w:szCs w:val="20"/>
                <w:color w:val="auto"/>
              </w:rPr>
            </w:pPr>
            <w:r>
              <w:rPr>
                <w:rFonts w:ascii="Times New Roman" w:cs="Times New Roman" w:eastAsia="Times New Roman" w:hAnsi="Times New Roman"/>
                <w:sz w:val="18"/>
                <w:szCs w:val="18"/>
                <w:color w:val="auto"/>
                <w:w w:val="90"/>
              </w:rPr>
              <w:t>13G</w:t>
            </w:r>
          </w:p>
        </w:tc>
      </w:tr>
    </w:tbl>
    <w:p>
      <w:pPr>
        <w:spacing w:after="0" w:line="1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the attached statement on Schedule 13G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4, 2021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SAIF IV Healthcare (BVI) Limited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SAIF Partners IV L.P., its Sole Shareholder</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SAIF IV GP, L.P., its General Partner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SAIF IV GP Capital Ltd., its General Partner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Y. Yan</w:t>
            </w:r>
          </w:p>
        </w:tc>
      </w:tr>
      <w:tr>
        <w:trPr>
          <w:trHeight w:val="228"/>
        </w:trPr>
        <w:tc>
          <w:tcPr>
            <w:tcW w:w="5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Andrew Y. Yan, Sole Shareholder</w:t>
            </w:r>
          </w:p>
        </w:tc>
      </w:tr>
      <w:tr>
        <w:trPr>
          <w:trHeight w:val="630"/>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SAIF Partners IV L.P.</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SAIF IV GP, L.P., its General Partner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SAIF IV GP Capital Ltd., its General Partner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Y. Yan</w:t>
            </w:r>
          </w:p>
        </w:tc>
      </w:tr>
      <w:tr>
        <w:trPr>
          <w:trHeight w:val="228"/>
        </w:trPr>
        <w:tc>
          <w:tcPr>
            <w:tcW w:w="5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Andrew Y. Yan, Sole Shareholder</w:t>
            </w:r>
          </w:p>
        </w:tc>
      </w:tr>
      <w:tr>
        <w:trPr>
          <w:trHeight w:val="630"/>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SAIF IV GP, L.P.</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SAIF IV GP Capital Ltd., its General Partner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Y. Yan</w:t>
            </w:r>
          </w:p>
        </w:tc>
      </w:tr>
      <w:tr>
        <w:trPr>
          <w:trHeight w:val="228"/>
        </w:trPr>
        <w:tc>
          <w:tcPr>
            <w:tcW w:w="5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Andrew Y. Yan, Sole Shareholder</w:t>
            </w:r>
          </w:p>
        </w:tc>
      </w:tr>
      <w:tr>
        <w:trPr>
          <w:trHeight w:val="630"/>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SAIF IV GP Capital Ltd.</w:t>
            </w:r>
          </w:p>
        </w:tc>
      </w:tr>
      <w:tr>
        <w:trPr>
          <w:trHeight w:val="64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Y. Yan</w:t>
            </w:r>
          </w:p>
        </w:tc>
      </w:tr>
      <w:tr>
        <w:trPr>
          <w:trHeight w:val="228"/>
        </w:trPr>
        <w:tc>
          <w:tcPr>
            <w:tcW w:w="5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Andrew Y. Yan, Sole Shareholder</w:t>
            </w:r>
          </w:p>
        </w:tc>
      </w:tr>
    </w:tbl>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Andrew Y. Yan</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 Andrew Y. 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Andrew Y. Yan</w:t>
      </w:r>
    </w:p>
    <w:p>
      <w:pPr>
        <w:spacing w:after="0" w:line="2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532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00"/>
          </w:cols>
          <w:pgMar w:left="320" w:top="333" w:right="47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44473E105**</w:t>
            </w:r>
          </w:p>
        </w:tc>
        <w:tc>
          <w:tcPr>
            <w:tcW w:w="7260" w:type="dxa"/>
            <w:vAlign w:val="bottom"/>
          </w:tcPr>
          <w:p>
            <w:pPr>
              <w:jc w:val="center"/>
              <w:ind w:right="3875"/>
              <w:spacing w:after="0"/>
              <w:rPr>
                <w:sz w:val="20"/>
                <w:szCs w:val="20"/>
                <w:color w:val="auto"/>
              </w:rPr>
            </w:pPr>
            <w:r>
              <w:rPr>
                <w:rFonts w:ascii="Times New Roman" w:cs="Times New Roman" w:eastAsia="Times New Roman" w:hAnsi="Times New Roman"/>
                <w:sz w:val="18"/>
                <w:szCs w:val="18"/>
                <w:color w:val="auto"/>
                <w:w w:val="96"/>
              </w:rPr>
              <w:t>13G</w:t>
            </w:r>
          </w:p>
        </w:tc>
        <w:tc>
          <w:tcPr>
            <w:tcW w:w="40" w:type="dxa"/>
            <w:vAlign w:val="bottom"/>
          </w:tcPr>
          <w:p>
            <w:pPr>
              <w:spacing w:after="0"/>
              <w:rPr>
                <w:sz w:val="20"/>
                <w:szCs w:val="20"/>
                <w:color w:val="auto"/>
              </w:rPr>
            </w:pPr>
          </w:p>
        </w:tc>
      </w:tr>
      <w:tr>
        <w:trPr>
          <w:trHeight w:val="432"/>
        </w:trPr>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7260" w:type="dxa"/>
            <w:vAlign w:val="bottom"/>
          </w:tcPr>
          <w:p>
            <w:pPr>
              <w:jc w:val="center"/>
              <w:ind w:right="3875"/>
              <w:spacing w:after="0"/>
              <w:rPr>
                <w:sz w:val="20"/>
                <w:szCs w:val="20"/>
                <w:color w:val="auto"/>
              </w:rPr>
            </w:pPr>
            <w:r>
              <w:rPr>
                <w:rFonts w:ascii="Times New Roman" w:cs="Times New Roman" w:eastAsia="Times New Roman" w:hAnsi="Times New Roman"/>
                <w:sz w:val="18"/>
                <w:szCs w:val="18"/>
                <w:b w:val="1"/>
                <w:bCs w:val="1"/>
                <w:color w:val="auto"/>
                <w:w w:val="99"/>
              </w:rPr>
              <w:t>LIST OF EXHIBITS</w:t>
            </w:r>
          </w:p>
        </w:tc>
        <w:tc>
          <w:tcPr>
            <w:tcW w:w="40" w:type="dxa"/>
            <w:vAlign w:val="bottom"/>
          </w:tcPr>
          <w:p>
            <w:pPr>
              <w:spacing w:after="0"/>
              <w:rPr>
                <w:sz w:val="24"/>
                <w:szCs w:val="24"/>
                <w:color w:val="auto"/>
              </w:rPr>
            </w:pPr>
          </w:p>
        </w:tc>
      </w:tr>
      <w:tr>
        <w:trPr>
          <w:trHeight w:val="364"/>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40" w:type="dxa"/>
            <w:vAlign w:val="bottom"/>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726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24"/>
                <w:szCs w:val="24"/>
                <w:color w:val="auto"/>
              </w:rPr>
            </w:pPr>
          </w:p>
        </w:tc>
      </w:tr>
      <w:tr>
        <w:trPr>
          <w:trHeight w:val="22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340" w:type="dxa"/>
            <w:vAlign w:val="bottom"/>
          </w:tcPr>
          <w:p>
            <w:pPr>
              <w:spacing w:after="0"/>
              <w:rPr>
                <w:sz w:val="19"/>
                <w:szCs w:val="19"/>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Joint Filing Agreement</w:t>
            </w:r>
          </w:p>
        </w:tc>
        <w:tc>
          <w:tcPr>
            <w:tcW w:w="72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4"/>
        </w:trPr>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7260" w:type="dxa"/>
            <w:vAlign w:val="bottom"/>
          </w:tcPr>
          <w:p>
            <w:pPr>
              <w:jc w:val="center"/>
              <w:ind w:right="3895"/>
              <w:spacing w:after="0"/>
              <w:rPr>
                <w:sz w:val="20"/>
                <w:szCs w:val="20"/>
                <w:color w:val="auto"/>
              </w:rPr>
            </w:pPr>
            <w:r>
              <w:rPr>
                <w:rFonts w:ascii="Times New Roman" w:cs="Times New Roman" w:eastAsia="Times New Roman" w:hAnsi="Times New Roman"/>
                <w:sz w:val="18"/>
                <w:szCs w:val="18"/>
                <w:color w:val="auto"/>
                <w:w w:val="88"/>
              </w:rPr>
              <w:t>9</w:t>
            </w:r>
          </w:p>
        </w:tc>
        <w:tc>
          <w:tcPr>
            <w:tcW w:w="40" w:type="dxa"/>
            <w:vAlign w:val="bottom"/>
          </w:tcPr>
          <w:p>
            <w:pPr>
              <w:spacing w:after="0"/>
              <w:rPr>
                <w:sz w:val="24"/>
                <w:szCs w:val="24"/>
                <w:color w:val="auto"/>
              </w:rPr>
            </w:pPr>
          </w:p>
        </w:tc>
      </w:tr>
      <w:tr>
        <w:trPr>
          <w:trHeight w:val="132"/>
        </w:trPr>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500" w:type="dxa"/>
            <w:vAlign w:val="bottom"/>
            <w:tcBorders>
              <w:bottom w:val="single" w:sz="8" w:color="808080"/>
            </w:tcBorders>
          </w:tcPr>
          <w:p>
            <w:pPr>
              <w:spacing w:after="0"/>
              <w:rPr>
                <w:sz w:val="11"/>
                <w:szCs w:val="11"/>
                <w:color w:val="auto"/>
              </w:rPr>
            </w:pPr>
          </w:p>
        </w:tc>
        <w:tc>
          <w:tcPr>
            <w:tcW w:w="72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3" w:right="29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44473E105**</w:t>
            </w:r>
          </w:p>
        </w:tc>
        <w:tc>
          <w:tcPr>
            <w:tcW w:w="2100" w:type="dxa"/>
            <w:vAlign w:val="bottom"/>
          </w:tcPr>
          <w:p>
            <w:pPr>
              <w:ind w:left="1800"/>
              <w:spacing w:after="0"/>
              <w:rPr>
                <w:sz w:val="20"/>
                <w:szCs w:val="20"/>
                <w:color w:val="auto"/>
              </w:rPr>
            </w:pPr>
            <w:r>
              <w:rPr>
                <w:rFonts w:ascii="Times New Roman" w:cs="Times New Roman" w:eastAsia="Times New Roman" w:hAnsi="Times New Roman"/>
                <w:sz w:val="18"/>
                <w:szCs w:val="18"/>
                <w:color w:val="auto"/>
                <w:w w:val="90"/>
              </w:rPr>
              <w:t>13G</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Rule 13d-1(k) promulgated under the Securities Exchange Act of 1934, as amended, the undersigned hereby agree to the joint filing with all other Reporting Persons (as such term is defined in the Schedule 13G referred to below) on behalf of each of them of a statement on Schedule 13G (including amendments thereto) with respect to the Class A common shares, par value US$0.00001 per share, of Huize Holding Limited, a Cayman Islands company, and that this Agreement may be included as an Exhibit to such joint filing. This Agreement may be executed in any number of counterparts, all of which taken together shall constitute one and the same instrument.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hereby execute this Agreement as of February 4,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SAIF IV Healthcare (BVI) Limited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SAIF Partners IV L.P., its Sole Shareholder</w:t>
            </w:r>
          </w:p>
        </w:tc>
      </w:tr>
      <w:tr>
        <w:trPr>
          <w:trHeight w:val="216"/>
        </w:trPr>
        <w:tc>
          <w:tcPr>
            <w:tcW w:w="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SAIF IV GP, L.P., its General Partner</w:t>
            </w:r>
          </w:p>
        </w:tc>
      </w:tr>
      <w:tr>
        <w:trPr>
          <w:trHeight w:val="234"/>
        </w:trPr>
        <w:tc>
          <w:tcPr>
            <w:tcW w:w="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SAIF IV GP Capital Ltd., its General Partner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Andrew Y. Yan</w:t>
            </w:r>
          </w:p>
        </w:tc>
      </w:tr>
      <w:tr>
        <w:trPr>
          <w:trHeight w:val="228"/>
        </w:trPr>
        <w:tc>
          <w:tcPr>
            <w:tcW w:w="58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Y. Yan, Sole Shareholder</w:t>
            </w:r>
          </w:p>
        </w:tc>
      </w:tr>
      <w:tr>
        <w:trPr>
          <w:trHeight w:val="630"/>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SAIF Partners IV L.P.</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SAIF IV GP, L.P., its General Partner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SAIF IV GP Capital Ltd., its General Partner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Andrew Y. Yan</w:t>
            </w:r>
          </w:p>
        </w:tc>
      </w:tr>
      <w:tr>
        <w:trPr>
          <w:trHeight w:val="228"/>
        </w:trPr>
        <w:tc>
          <w:tcPr>
            <w:tcW w:w="580" w:type="dxa"/>
            <w:vAlign w:val="bottom"/>
          </w:tcPr>
          <w:p>
            <w:pPr>
              <w:spacing w:after="0"/>
              <w:rPr>
                <w:sz w:val="19"/>
                <w:szCs w:val="19"/>
                <w:color w:val="auto"/>
              </w:rPr>
            </w:pPr>
          </w:p>
        </w:tc>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Andrew Y. Yan, Sole Shareholder</w:t>
            </w:r>
          </w:p>
        </w:tc>
        <w:tc>
          <w:tcPr>
            <w:tcW w:w="80" w:type="dxa"/>
            <w:vAlign w:val="bottom"/>
          </w:tcPr>
          <w:p>
            <w:pPr>
              <w:spacing w:after="0"/>
              <w:rPr>
                <w:sz w:val="19"/>
                <w:szCs w:val="19"/>
                <w:color w:val="auto"/>
              </w:rPr>
            </w:pPr>
          </w:p>
        </w:tc>
      </w:tr>
      <w:tr>
        <w:trPr>
          <w:trHeight w:val="630"/>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SAIF IV GP, L.P.</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SAIF IV GP Capital Ltd., its General Partner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Andrew Y. Yan</w:t>
            </w:r>
          </w:p>
        </w:tc>
      </w:tr>
      <w:tr>
        <w:trPr>
          <w:trHeight w:val="228"/>
        </w:trPr>
        <w:tc>
          <w:tcPr>
            <w:tcW w:w="58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Y. Yan, Sole Shareholder</w:t>
            </w:r>
          </w:p>
        </w:tc>
      </w:tr>
      <w:tr>
        <w:trPr>
          <w:trHeight w:val="630"/>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SAIF IV GP Capital Ltd.</w:t>
            </w:r>
          </w:p>
        </w:tc>
      </w:tr>
      <w:tr>
        <w:trPr>
          <w:trHeight w:val="64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Andrew Y. Yan</w:t>
            </w:r>
          </w:p>
        </w:tc>
      </w:tr>
      <w:tr>
        <w:trPr>
          <w:trHeight w:val="228"/>
        </w:trPr>
        <w:tc>
          <w:tcPr>
            <w:tcW w:w="58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Y. Yan, Sole Shareholder</w:t>
            </w:r>
          </w:p>
        </w:tc>
      </w:tr>
    </w:tbl>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Andrew Y. Yan</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 Andrew Y. 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Andrew Y. 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217805</wp:posOffset>
            </wp:positionV>
            <wp:extent cx="71532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 "/>
      <w:numFmt w:val="bullet"/>
      <w:start w:val="1"/>
    </w:lvl>
  </w:abstractNum>
  <w:abstractNum w:abstractNumId="1">
    <w:nsid w:val="3D1B58BA"/>
    <w:multiLevelType w:val="hybridMultilevel"/>
    <w:lvl w:ilvl="0">
      <w:lvlJc w:val="left"/>
      <w:lvlText w:val="*"/>
      <w:numFmt w:val="bullet"/>
      <w:start w:val="1"/>
    </w:lvl>
    <w:lvl w:ilvl="1">
      <w:lvlJc w:val="left"/>
      <w:lvlText w:val="x"/>
      <w:numFmt w:val="bullet"/>
      <w:start w:val="1"/>
    </w:lvl>
  </w:abstractNum>
  <w:abstractNum w:abstractNumId="2">
    <w:nsid w:val="507ED7AB"/>
    <w:multiLevelType w:val="hybridMultilevel"/>
    <w:lvl w:ilvl="0">
      <w:lvlJc w:val="left"/>
      <w:lvlText w:val="**"/>
      <w:numFmt w:val="bullet"/>
      <w:start w:val="1"/>
    </w:lvl>
    <w:lvl w:ilvl="1">
      <w:lvlJc w:val="left"/>
      <w:lvlText w:val="x"/>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2021-02-04T05:16:27Z</dcterms:created>
  <dcterms:modified xsi:type="dcterms:W3CDTF">2021-02-04T05:16:27Z</dcterms:modified>
</cp:coreProperties>
</file>