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001-39216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Huize Holding Limited</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left="2440" w:right="900"/>
        <w:spacing w:after="0" w:line="256" w:lineRule="auto"/>
        <w:rPr>
          <w:sz w:val="20"/>
          <w:szCs w:val="20"/>
          <w:color w:val="auto"/>
        </w:rPr>
      </w:pPr>
      <w:r>
        <w:rPr>
          <w:rFonts w:ascii="Times New Roman" w:cs="Times New Roman" w:eastAsia="Times New Roman" w:hAnsi="Times New Roman"/>
          <w:sz w:val="18"/>
          <w:szCs w:val="18"/>
          <w:b w:val="1"/>
          <w:bCs w:val="1"/>
          <w:color w:val="auto"/>
        </w:rPr>
        <w:t>49/F, Building T1, Qianhai Financial Centre, Linhai Avenue, Qianhai Shenzhen-Hong Kong Cooperation Zone, Shenzhen 518000 People’s Republic of China</w:t>
      </w:r>
    </w:p>
    <w:p>
      <w:pPr>
        <w:spacing w:after="0" w:line="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1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716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1460" w:type="dxa"/>
            <w:vAlign w:val="bottom"/>
          </w:tcPr>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160" w:type="dxa"/>
            <w:vAlign w:val="bottom"/>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46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99.1</w:t>
            </w:r>
          </w:p>
        </w:tc>
        <w:tc>
          <w:tcPr>
            <w:tcW w:w="71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Releases—Huize Holding Limited Reports Second Quarter 2025 Unaudited Financial Results</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Huize Holding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/s/ Ronald Tam</w:t>
            </w:r>
          </w:p>
        </w:tc>
      </w:tr>
      <w:tr>
        <w:trPr>
          <w:trHeight w:val="205"/>
        </w:trPr>
        <w:tc>
          <w:tcPr>
            <w:tcW w:w="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Ronald Tam</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Co-Chief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12, 2025</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Huize Holding Limited Reports Second Quarter 2025 Unaudited Financial Results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SHENZHEN, China, September 12, 2025 (GLOBE NEWSWIRE) – Huize Holding Limited, (“Huize”, the “Company” or “we”) (NASDAQ: HUIZ), a leading insurance technology platform connecting consumers, insurance carriers, and distribution partners digitally through data-driven and AI-powered solutions in Asia, today announced its unaudited financial results for the quarter ended June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and Operational Highlights</w:t>
      </w:r>
    </w:p>
    <w:p>
      <w:pPr>
        <w:spacing w:after="0" w:line="131" w:lineRule="exact"/>
        <w:rPr>
          <w:sz w:val="20"/>
          <w:szCs w:val="20"/>
          <w:color w:val="auto"/>
        </w:rPr>
      </w:pPr>
    </w:p>
    <w:p>
      <w:pPr>
        <w:ind w:left="960" w:right="40" w:hanging="424"/>
        <w:spacing w:after="0" w:line="259"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Remarkable business performance: </w:t>
      </w:r>
      <w:r>
        <w:rPr>
          <w:rFonts w:ascii="Times New Roman" w:cs="Times New Roman" w:eastAsia="Times New Roman" w:hAnsi="Times New Roman"/>
          <w:sz w:val="18"/>
          <w:szCs w:val="18"/>
          <w:color w:val="auto"/>
        </w:rPr>
        <w:t>First year premiums (“FYP”) recorded solid growth of 73.1% from RMB651.5 million in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to RMB1,127.9 million in the second quarter of 2025. Gross written premiums (“GWP”) also surged 34.4% year-over-year to RMB1,796.5 million in the second quarter of 2025. The notable business performance was driven primarily by our high-quality customer base, continuously robust persistency ratios, and the wide-range of insurance product offerings that cater for different protection needs of our clients.</w:t>
      </w:r>
    </w:p>
    <w:p>
      <w:pPr>
        <w:spacing w:after="0" w:line="84" w:lineRule="exact"/>
        <w:rPr>
          <w:rFonts w:ascii="Times New Roman" w:cs="Times New Roman" w:eastAsia="Times New Roman" w:hAnsi="Times New Roman"/>
          <w:sz w:val="18"/>
          <w:szCs w:val="18"/>
          <w:color w:val="auto"/>
        </w:rPr>
      </w:pPr>
    </w:p>
    <w:p>
      <w:pPr>
        <w:ind w:left="960" w:right="80" w:hanging="424"/>
        <w:spacing w:after="0" w:line="25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Robust revenue growth and ongoing efficiency gains underpinned solid profitability: </w:t>
      </w:r>
      <w:r>
        <w:rPr>
          <w:rFonts w:ascii="Times New Roman" w:cs="Times New Roman" w:eastAsia="Times New Roman" w:hAnsi="Times New Roman"/>
          <w:sz w:val="18"/>
          <w:szCs w:val="18"/>
          <w:color w:val="auto"/>
        </w:rPr>
        <w:t>Total revenue reached RMB396.7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quarter of 2025, increased by 40.2% year-over-year. Our expense-to-income ratio improved significantly from 40.5% in the second quarter of 2024 to 23.9% in the second quarter of 2025, mainly reflecting our cost-optimization initiatives and the deployment of our proprietary AI to improve productivity. As a result, we achieved a GAAP net profit attributable to common shareholders of</w:t>
      </w:r>
    </w:p>
    <w:p>
      <w:pPr>
        <w:spacing w:after="0" w:line="3"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RMB10.9 million over the quarter.</w:t>
      </w:r>
    </w:p>
    <w:p>
      <w:pPr>
        <w:spacing w:after="0" w:line="108" w:lineRule="exact"/>
        <w:rPr>
          <w:rFonts w:ascii="Times New Roman" w:cs="Times New Roman" w:eastAsia="Times New Roman" w:hAnsi="Times New Roman"/>
          <w:sz w:val="18"/>
          <w:szCs w:val="18"/>
          <w:color w:val="auto"/>
        </w:rPr>
      </w:pPr>
    </w:p>
    <w:p>
      <w:pPr>
        <w:ind w:left="960" w:right="160" w:hanging="424"/>
        <w:spacing w:after="0" w:line="26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cumulative number of insurance clients served </w:t>
      </w:r>
      <w:r>
        <w:rPr>
          <w:rFonts w:ascii="Times New Roman" w:cs="Times New Roman" w:eastAsia="Times New Roman" w:hAnsi="Times New Roman"/>
          <w:sz w:val="18"/>
          <w:szCs w:val="18"/>
          <w:color w:val="auto"/>
        </w:rPr>
        <w:t>increased to 11.4 million as of June 30, 2025. Huize cooperated with 146</w:t>
      </w:r>
      <w:r>
        <w:rPr>
          <w:rFonts w:ascii="Times New Roman" w:cs="Times New Roman" w:eastAsia="Times New Roman" w:hAnsi="Times New Roman"/>
          <w:sz w:val="18"/>
          <w:szCs w:val="18"/>
          <w:b w:val="1"/>
          <w:bCs w:val="1"/>
          <w:color w:val="auto"/>
        </w:rPr>
        <w:t xml:space="preserve"> insurer partners </w:t>
      </w:r>
      <w:r>
        <w:rPr>
          <w:rFonts w:ascii="Times New Roman" w:cs="Times New Roman" w:eastAsia="Times New Roman" w:hAnsi="Times New Roman"/>
          <w:sz w:val="18"/>
          <w:szCs w:val="18"/>
          <w:color w:val="auto"/>
        </w:rPr>
        <w:t>in mainland China and internationally, including 84 life and health insurance companies and 62 property and casualty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as of June 30, 2025.</w:t>
      </w:r>
    </w:p>
    <w:p>
      <w:pPr>
        <w:spacing w:after="0" w:line="7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June 30, 2025, </w:t>
      </w: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xml:space="preserve"> were RMB238.5 million (US$33.3 million).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Mr. Cunjun Ma, Founder and CEO of Huize, said, “We are pleased to deliver another quarter of remarkable results, with operating revenue hitting a 3-year high of RMB397 million and GAAP net profit attributable to common shareholders of RMB10.9 million. Gross written premiums and first-year premiums facilitated on our platform maintained solid growth momentum, rising 34.4% year-over-year to RMB1,796 million and 73.1% year-over-year to RMB1,128 million, respectively, and in the second quarter.”</w:t>
      </w:r>
    </w:p>
    <w:p>
      <w:pPr>
        <w:spacing w:after="0" w:line="180" w:lineRule="exact"/>
        <w:rPr>
          <w:sz w:val="20"/>
          <w:szCs w:val="20"/>
          <w:color w:val="auto"/>
        </w:rPr>
      </w:pPr>
    </w:p>
    <w:p>
      <w:pPr>
        <w:ind w:right="220"/>
        <w:spacing w:after="0" w:line="230" w:lineRule="auto"/>
        <w:rPr>
          <w:sz w:val="20"/>
          <w:szCs w:val="20"/>
          <w:color w:val="auto"/>
        </w:rPr>
      </w:pPr>
      <w:r>
        <w:rPr>
          <w:rFonts w:ascii="Times New Roman" w:cs="Times New Roman" w:eastAsia="Times New Roman" w:hAnsi="Times New Roman"/>
          <w:sz w:val="18"/>
          <w:szCs w:val="18"/>
          <w:color w:val="auto"/>
        </w:rPr>
        <w:t>“Acquiring and serving high-quality, mass-affluent customers remains our core focus. In the second quarter, the average age of customers who purchased long-term insurance products was 35.2 years, with 65.4% residing in higher-tier cities. By the end of May, our 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persistency ratios for long-term life and health insurance products stood at industry-high levels of more than 95%, reflecting strong user loyalty to our comprehensive, customized products.”</w:t>
      </w:r>
    </w:p>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meet the lifelong protection needs of our customers, we continued to co-develop and launch differentiated, customized products with our insurer partners. Against a backdrop of preference for steady financial planning and an aging population, our early move in participating products has delivered strong progress. Centered on client wealth-management needs, we introduced the ‘Bliss (Golden Edition)’ annuity, offering superior and sustainable wealth-planning solutions. We have also jointly launched ‘Xiao Shen Tong 7.0’ children’s accident insurance with Ping An Property &amp; Casualty Insurance, and jointly launched ‘Little Scholar 2.0 Pro’ student accident &amp; medical insurance with PICC Property &amp; Casualty, delivering multi-dimensional and comprehensive protection for children and students.”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AI strategy has evolved into a systematic initiative centered around three progressive pillars: enhancing organizational efficiency, driving AI-powered operational processes, and exploring business model transformation. We are actively promoting the adoption of AI tools and fostering an AI-native culture to enhance efficiency across the organization. Notably, our expense-to-income ratio decreased significantly by 16.6 percentage points year-over-year, reaching 23.9% in the second quarter of 2025. We are also embedding AI into our core workflows, redesigning the entire user journey, from customer acquisition, conversion, to post-sales service. For instance, our AI-based intent recognition and product recommendation systems have driven a 50% year-over-year increase in self-directed policy purchases.”</w:t>
      </w:r>
    </w:p>
    <w:p>
      <w:pPr>
        <w:sectPr>
          <w:pgSz w:w="11900" w:h="16838" w:orient="portrait"/>
          <w:cols w:equalWidth="0" w:num="1">
            <w:col w:w="11020"/>
          </w:cols>
          <w:pgMar w:left="440" w:top="117" w:right="439" w:bottom="1440" w:gutter="0" w:footer="0" w:header="0"/>
        </w:sectPr>
      </w:pPr>
    </w:p>
    <w:bookmarkStart w:id="4" w:name="page5"/>
    <w:bookmarkEnd w:id="4"/>
    <w:p>
      <w:pPr>
        <w:ind w:left="4"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long-term vision is to build an AI-driven intelligent ecosystem that seamlessly connects users, insurers, and agents. By leveraging our proprietary AI technologies, we aim to redefine the value chain, enhance service quality and efficiency, and unlock new growth opportunities.”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Second Quarter 2025 Financial Results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GWP and operating revenue</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GWP facilitated on our platform was RMB1,796.5 million (US$250.8 million) in the second quarter of 2025, an increase of 34.4% from RMB1,336.9 million in the same period of 2024. Within GWP facilitated in the second quarter of 2025, FYP accounted for RMB1,127.9 million (or 62.8% of total GWP), an increase of 73.1% year-over-year. Renewal premiums accounted for RMB668.6 million (or 37.2% of total GWP), representing a decrease of 2.5% year-over-year.</w:t>
      </w:r>
    </w:p>
    <w:p>
      <w:pPr>
        <w:spacing w:after="0" w:line="180"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Operating revenue was RMB396.7 million (US$55.4 million) in the second quarter of 2025, an increase of 40.2% from RMB283.0 million in the same period of 2024. The increase was primarily driven by the increase in FYP facilitated.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Operating costs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Operating costs were RMB287.8 million (US$40.2 million) in the second quarter of 2025, representing an increase of 48.1% from RMB194.4 million in the same period of 2024, primarily due to an increase in channel expenses.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Selling expenses were RMB52.5 million (US$7.3 million) in the second quarter of 2025, representing an increase of 12.0% from RMB46.8 million in the same period of 2024, primarily due to an increase in staff compensation.</w:t>
      </w:r>
    </w:p>
    <w:p>
      <w:pPr>
        <w:spacing w:after="0" w:line="162"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RMB26.3 million (US$3.7 million) in the second quarter of 2025, representing a decrease of 47.1% from RMB49.7 million in the same period of 2024. This decrease was primarily due to a decrease in share-based compensation expenses, rental and utilities expenses and staff compensation related to workforce optimization.</w:t>
      </w:r>
    </w:p>
    <w:p>
      <w:pPr>
        <w:spacing w:after="0" w:line="176"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RMB16.0 million (US$2.2 million) in the second quarter of 2025, representing a decrease of 11.8% from RMB18.1 million in the same period of 2024, primarily due to a decrease in staff compensation related to workforce optimization.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Net profit and non-GAAP net profit for the period</w:t>
      </w:r>
    </w:p>
    <w:p>
      <w:pPr>
        <w:spacing w:after="0" w:line="121" w:lineRule="exact"/>
        <w:rPr>
          <w:sz w:val="20"/>
          <w:szCs w:val="20"/>
          <w:color w:val="auto"/>
        </w:rPr>
      </w:pPr>
    </w:p>
    <w:p>
      <w:pPr>
        <w:ind w:left="4" w:right="80"/>
        <w:spacing w:after="0" w:line="214" w:lineRule="auto"/>
        <w:rPr>
          <w:sz w:val="20"/>
          <w:szCs w:val="20"/>
          <w:color w:val="auto"/>
        </w:rPr>
      </w:pPr>
      <w:r>
        <w:rPr>
          <w:rFonts w:ascii="Times New Roman" w:cs="Times New Roman" w:eastAsia="Times New Roman" w:hAnsi="Times New Roman"/>
          <w:sz w:val="18"/>
          <w:szCs w:val="18"/>
          <w:color w:val="auto"/>
        </w:rPr>
        <w:t>Net profit attributable to common shareholders was RMB10.9 million (US$1.5 million) in the second quarter of 2025, compared to net loss attributable to common shareholders of RMB23.3 million in the same period of 2024. Non-GAAP net profit attributable to common shareholders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was</w:t>
      </w:r>
    </w:p>
    <w:p>
      <w:pPr>
        <w:spacing w:after="0" w:line="1" w:lineRule="exact"/>
        <w:rPr>
          <w:sz w:val="20"/>
          <w:szCs w:val="20"/>
          <w:color w:val="auto"/>
        </w:rPr>
      </w:pPr>
    </w:p>
    <w:p>
      <w:pPr>
        <w:ind w:left="4" w:right="1040"/>
        <w:spacing w:after="0" w:line="258" w:lineRule="auto"/>
        <w:rPr>
          <w:sz w:val="20"/>
          <w:szCs w:val="20"/>
          <w:color w:val="auto"/>
        </w:rPr>
      </w:pPr>
      <w:r>
        <w:rPr>
          <w:rFonts w:ascii="Times New Roman" w:cs="Times New Roman" w:eastAsia="Times New Roman" w:hAnsi="Times New Roman"/>
          <w:sz w:val="18"/>
          <w:szCs w:val="18"/>
          <w:color w:val="auto"/>
        </w:rPr>
        <w:t>RMB7.6 million (US$1.1 million) in the second quarter of 2025, compared to non-GAAP net loss attributable to common shareholders of RMB13.0 million in the same period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424" w:right="260" w:hanging="424"/>
        <w:spacing w:after="0" w:line="220"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net profit attributable to common shareholders is a non-GAAP financial measure. For more information, please see the section of “Use of Non-GAAP Financial Measure Statement” and the table captioned “Unaudited Reconciliations of GAAP and Non-GAAP Results” set forth at the end of this press release.</w:t>
      </w:r>
    </w:p>
    <w:p>
      <w:pPr>
        <w:sectPr>
          <w:pgSz w:w="11900" w:h="16838" w:orient="portrait"/>
          <w:cols w:equalWidth="0" w:num="1">
            <w:col w:w="10964"/>
          </w:cols>
          <w:pgMar w:left="436" w:top="270"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and cash equivalents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June 30, 2025, the Company’s cash and cash equivalents amounted to RMB238.5 million (US$33.3 million), compared to RMB233.2 million as of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management team will hold an earnings conference call at 8:00 A.M. Eastern Time on Friday, September 12, 2025 (8:00 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Beijing/Hong Kong Time on Friday, September 12, 2025). Details for the conference call are as follows: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Title: Huize Holding Limited’s Second Quarter 2025 Earnings Conference Call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Link: https://register-conf.media-server.com/register/BI3e35bb510fdd420aae37a9c8f42c9f59</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All participants must use the link provided above to complete the online registration process in advance of the conference call. Upon registration, each participant will receive a confirmation email containing dial-in numbers and a unique access PIN, which will be used to join the conference call.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Additionally, a live and archived webcast of the conference call will also be available on the Company’s investor relations website at http://ir.huize.com.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Huize Holding Limited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Huize Holding Limited is a leading insurance technology platform connecting consumers, insurance carriers and distribution partners digitally through data-driven and AI-powered solutions in Asia. Targeting mass affluent consumers, Huize is dedicated to serving consumers for their life-long insurance needs. Its online-to-offline integrated insurance ecosystem covers the entire insurance life cycle and offers consumers a wide spectrum of insurance products, one-stop services, and a streamlined transaction experience across all scenarios. By leveraging AI, data analytics, and digital capabilities, Huize empowers the insurance service chain with proprietary technology-enabled solutions for insurance consultation, user engagement, marketing, risk management, and claims service.</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more information, please visit http://ir.huize.com or follow us on social media via LinkedIn (https://www.linkedin.com/company/huize-holding-limited), X(https://x.com/huizeholding) and Webull(https://www.webull.com/quote/nasdaq-huiz).</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 Statement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evaluating our business, we consider and use non-GAAP net profit/(loss) attributable to common shareholders as a supplemental measure to review and assess our operating performance. The presentation of the non-GAAP financial measure is not intended to be considered in isolation or as a substitute for the financial information prepared and presented in accordance with U.S. GAAP. We define non-GAAP net profit/(loss) attributable to common shareholders as net profit/(loss) attributable to common shareholders excluding share-based compensation expenses. Such adjustments have no impact on income tax because either the non-GAAP adjustments were recorded at entities located in tax free jurisdictions, such as the Cayman Islands or because the non-GAAP adjustments were recorded at operating entities located in the PRC for which the non-GAAP adjustments were not deductible for tax purposes.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present the non-GAAP financial measure because it is used by our management to evaluate our operating performance and formulate business plans. Non-GAAP net profit/(loss) attributable to common shareholders enables our management to assess our operating results without considering the impact of share-based compensation expenses. We also believe that the use of this non-GAAP financial measure facilitates investors’ assessment of our operating performance.</w:t>
      </w:r>
    </w:p>
    <w:p>
      <w:pPr>
        <w:sectPr>
          <w:pgSz w:w="11900" w:h="16838" w:orient="portrait"/>
          <w:cols w:equalWidth="0" w:num="1">
            <w:col w:w="11000"/>
          </w:cols>
          <w:pgMar w:left="440" w:top="266" w:right="459" w:bottom="1440" w:gutter="0" w:footer="0" w:header="0"/>
        </w:sectPr>
      </w:pPr>
    </w:p>
    <w:bookmarkStart w:id="6" w:name="page7"/>
    <w:bookmarkEnd w:id="6"/>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non-GAAP financial measure is not defined under U.S. GAAP and is not presented in accordance with U.S. GAAP. The non-GAAP financial measure has limitations as an analytical tool. One of the key limitations of using adjusted net profit/(loss) attributable to common shareholders is that it does not reflect all items of income and expense that affect our operations. Further, the non-GAAP financial measure may differ from the non-GAAP financial information used by other companies, including peer companies, and therefore their comparability may be limited.</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non-GAAP financial measure should not be considered in isolation or construed as an alternative to net profit/(loss) attributable to common shareholders or any other measure of performance or as an indicator of our operating performance. Investors are encouraged to review the historical non-GAAP financial measure in light of the most directly comparable GAAP measure, as shown below. The non-GAAP financial measure presented here may not be comparable to similarly titled measure presented by other companies. Other companies may calculate similarly titled measures differently, limiting the usefulness of such measures when analyzing our data comparatively. We encourage investors and others to review our financial information in its entirety and not rely on a single financial measure.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at a specified rate solely for the convenience of the reader. Unless otherwise noted, all translations from RMB to U.S. dollars and from U.S. dollars to RMB are made at a rate of RMB7.1636 to US$1.00, the exchange rate on June 30, 2025, set forth in the H.10 statistical release of the Federal Reserve Board. The Company makes no representation that the RMB or U.S. dollars amounts referred could be converted into U.S. dollars or RMB, as the case may be, at any particular rate or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Statements that are not historical facts, including statements about Huize’s beliefs and expectations, are forward-looking statements. These forward-looking statements can be identified by terminology such as “will,” “expects,” “anticipates,” “future,” “intends,” “plans,” “believes,” “estimates,” “confident” and similar statements. Among other things, business outlook and quotations from management in this announcement, contain forward-looking statements. Huize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Huize’s goal and strategies; Huize’s expansion plans; Huize’s future business development, financial condition and results of operations; Huize’s expectation regarding the demand for, and market acceptance of, its online insurance products; Huize’s expectations regarding its relationship with insurer partners and insurance clients and other parties it collaborates with; general economic and business conditions; and assumptions underlying or related to any of the foregoing.</w:t>
      </w:r>
    </w:p>
    <w:p>
      <w:pPr>
        <w:spacing w:after="0" w:line="19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Further information regarding these and other risks is included in Huize’s filings with the SEC. All information provided in this press release is as of the date of this press release, and Huize does not undertake any obligation to update any forward-looking statement, except as required under applicable law.</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investor and media inquiries, please contact: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Kenny Lo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investor@huize.com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mediacenter@huize.com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Christensen Advisory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Dolly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+852 6996 4179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dolly.zhang@christensencomms.com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Linda Bergkamp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+1-480-614-3004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linda.bergkamp@christensencomms.com</w:t>
      </w:r>
    </w:p>
    <w:p>
      <w:pPr>
        <w:sectPr>
          <w:pgSz w:w="11900" w:h="16838" w:orient="portrait"/>
          <w:cols w:equalWidth="0" w:num="1">
            <w:col w:w="10019"/>
          </w:cols>
          <w:pgMar w:left="440" w:top="266" w:right="1440"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Huize Holding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5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7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42"/>
        </w:trPr>
        <w:tc>
          <w:tcPr>
            <w:tcW w:w="774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74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00" w:type="dxa"/>
            <w:vAlign w:val="bottom"/>
            <w:gridSpan w:val="2"/>
          </w:tcPr>
          <w:p>
            <w:pPr>
              <w:spacing w:after="0"/>
              <w:rPr>
                <w:sz w:val="12"/>
                <w:szCs w:val="12"/>
                <w:color w:val="auto"/>
              </w:rPr>
            </w:pPr>
          </w:p>
        </w:tc>
        <w:tc>
          <w:tcPr>
            <w:tcW w:w="102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USD</w:t>
            </w:r>
          </w:p>
        </w:tc>
        <w:tc>
          <w:tcPr>
            <w:tcW w:w="120" w:type="dxa"/>
            <w:vAlign w:val="bottom"/>
          </w:tcPr>
          <w:p>
            <w:pPr>
              <w:spacing w:after="0"/>
              <w:rPr>
                <w:sz w:val="12"/>
                <w:szCs w:val="12"/>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233,207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238,500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33,293</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61,708</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43,855</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6,122</w:t>
            </w: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3,203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assets, net of allowance for doubtful accounts</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71,085</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77,029</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10,753</w:t>
            </w: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receivables, net of allowance for impairment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157,080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200,987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28,057</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Insurance premium receivables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1,763</w:t>
            </w:r>
          </w:p>
        </w:tc>
        <w:tc>
          <w:tcPr>
            <w:tcW w:w="2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995</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 and other receivables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68,171</w:t>
            </w:r>
          </w:p>
        </w:tc>
        <w:tc>
          <w:tcPr>
            <w:tcW w:w="300" w:type="dxa"/>
            <w:vAlign w:val="bottom"/>
            <w:gridSpan w:val="2"/>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69,290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9,673</w:t>
            </w:r>
          </w:p>
        </w:tc>
      </w:tr>
      <w:tr>
        <w:trPr>
          <w:trHeight w:val="27"/>
        </w:trPr>
        <w:tc>
          <w:tcPr>
            <w:tcW w:w="77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599,009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635,796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88,755</w:t>
            </w: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29,883</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29,683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4,144</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assets, net of allowance for expected credit losses</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28,435</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32,959</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4,601</w:t>
            </w: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47,083</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42,475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5,929</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68,840</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66,796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9,324</w:t>
            </w: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investments</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66,716</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61,623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8,602</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20,715</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16,017</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2,236</w:t>
            </w: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14,536</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14,075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1,965</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2,747</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r>
      <w:tr>
        <w:trPr>
          <w:trHeight w:val="27"/>
        </w:trPr>
        <w:tc>
          <w:tcPr>
            <w:tcW w:w="77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266,375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37,184</w:t>
            </w: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884,198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902,171</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125,939</w:t>
            </w:r>
          </w:p>
        </w:tc>
        <w:tc>
          <w:tcPr>
            <w:tcW w:w="120" w:type="dxa"/>
            <w:vAlign w:val="bottom"/>
          </w:tcPr>
          <w:p>
            <w:pPr>
              <w:spacing w:after="0"/>
              <w:rPr>
                <w:sz w:val="20"/>
                <w:szCs w:val="20"/>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53,000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7,399</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202,054</w:t>
            </w:r>
          </w:p>
        </w:tc>
        <w:tc>
          <w:tcPr>
            <w:tcW w:w="2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252,500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35,248</w:t>
            </w: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premium payables</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56,042</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36,337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5,072</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44,434</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25,051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3,497</w:t>
            </w: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Payroll and welfare payable</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41,005</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41,883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5,847</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2,575</w:t>
            </w:r>
          </w:p>
        </w:tc>
        <w:tc>
          <w:tcPr>
            <w:tcW w:w="2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5,450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16,743</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2,095</w:t>
            </w:r>
          </w:p>
        </w:tc>
      </w:tr>
      <w:tr>
        <w:trPr>
          <w:trHeight w:val="223"/>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415,348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429,229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59,919</w:t>
            </w: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borrowings</w:t>
            </w:r>
          </w:p>
        </w:tc>
        <w:tc>
          <w:tcPr>
            <w:tcW w:w="15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976</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14,875</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13,949</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1,947</w:t>
            </w: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24,082</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17,040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2,379</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Payroll and welfare payable</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649</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505</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5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5,028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w:t>
            </w: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43,512</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20" w:type="dxa"/>
            <w:vAlign w:val="bottom"/>
          </w:tcPr>
          <w:p>
            <w:pPr>
              <w:spacing w:after="0"/>
              <w:rPr>
                <w:sz w:val="20"/>
                <w:szCs w:val="20"/>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454,954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472,741</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65,993</w:t>
            </w: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common shares</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B common shares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(29,513)</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(29,513)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(4,120)</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909,930</w:t>
            </w:r>
          </w:p>
        </w:tc>
        <w:tc>
          <w:tcPr>
            <w:tcW w:w="2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909,930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127,021</w:t>
            </w:r>
          </w:p>
        </w:tc>
      </w:tr>
      <w:tr>
        <w:trPr>
          <w:trHeight w:val="216"/>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(12,864)</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(13,334)</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(1,861)</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deficits</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(458,886)</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(456,597)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(63,738)</w:t>
            </w:r>
          </w:p>
        </w:tc>
      </w:tr>
      <w:tr>
        <w:trPr>
          <w:trHeight w:val="27"/>
        </w:trPr>
        <w:tc>
          <w:tcPr>
            <w:tcW w:w="77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Huize Holding Limited shareholders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408,740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410,559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57,312</w:t>
            </w: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300" w:type="dxa"/>
            <w:vAlign w:val="bottom"/>
            <w:gridSpan w:val="2"/>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18,871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2,634</w:t>
            </w:r>
          </w:p>
        </w:tc>
      </w:tr>
      <w:tr>
        <w:trPr>
          <w:trHeight w:val="27"/>
        </w:trPr>
        <w:tc>
          <w:tcPr>
            <w:tcW w:w="77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429,244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429,430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59,946</w:t>
            </w: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884,198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902,171</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125,939</w:t>
            </w:r>
          </w:p>
        </w:tc>
        <w:tc>
          <w:tcPr>
            <w:tcW w:w="12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Huize Holding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384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7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34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96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38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6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USD</w:t>
            </w:r>
          </w:p>
        </w:tc>
        <w:tc>
          <w:tcPr>
            <w:tcW w:w="220" w:type="dxa"/>
            <w:vAlign w:val="bottom"/>
          </w:tcPr>
          <w:p>
            <w:pPr>
              <w:spacing w:after="0"/>
              <w:rPr>
                <w:sz w:val="12"/>
                <w:szCs w:val="12"/>
                <w:color w:val="auto"/>
              </w:rPr>
            </w:pPr>
          </w:p>
        </w:tc>
        <w:tc>
          <w:tcPr>
            <w:tcW w:w="96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400" w:type="dxa"/>
            <w:vAlign w:val="bottom"/>
            <w:gridSpan w:val="2"/>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8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USD</w:t>
            </w:r>
          </w:p>
        </w:tc>
        <w:tc>
          <w:tcPr>
            <w:tcW w:w="12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Brokerage income</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271,790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384,544</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53,680</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573,672</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656,394</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91,629</w:t>
            </w: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11,161</w:t>
            </w:r>
          </w:p>
        </w:tc>
        <w:tc>
          <w:tcPr>
            <w:tcW w:w="13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12,202</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1,703</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19,591</w:t>
            </w: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24,141</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3,370</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282,951</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396,746</w:t>
            </w:r>
          </w:p>
        </w:tc>
        <w:tc>
          <w:tcPr>
            <w:tcW w:w="2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55,383</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593,263</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680,535</w:t>
            </w:r>
          </w:p>
        </w:tc>
        <w:tc>
          <w:tcPr>
            <w:tcW w:w="28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94,999</w:t>
            </w:r>
          </w:p>
        </w:tc>
        <w:tc>
          <w:tcPr>
            <w:tcW w:w="120" w:type="dxa"/>
            <w:vAlign w:val="bottom"/>
          </w:tcPr>
          <w:p>
            <w:pPr>
              <w:spacing w:after="0"/>
              <w:rPr>
                <w:sz w:val="20"/>
                <w:szCs w:val="20"/>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(187,469)</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(286,236)</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(39,957)</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(405,361)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(495,248)</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(69,134)</w:t>
            </w: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cost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(6,885)</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(1,525)</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(9,188)</w:t>
            </w:r>
          </w:p>
        </w:tc>
        <w:tc>
          <w:tcPr>
            <w:tcW w:w="1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(2,996)</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(194,354)</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(287,761)</w:t>
            </w:r>
          </w:p>
        </w:tc>
        <w:tc>
          <w:tcPr>
            <w:tcW w:w="2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(40,170)</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(414,549)</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(498,244)</w:t>
            </w:r>
          </w:p>
        </w:tc>
        <w:tc>
          <w:tcPr>
            <w:tcW w:w="28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(69,552)</w:t>
            </w:r>
          </w:p>
        </w:tc>
        <w:tc>
          <w:tcPr>
            <w:tcW w:w="120" w:type="dxa"/>
            <w:vAlign w:val="bottom"/>
          </w:tcPr>
          <w:p>
            <w:pPr>
              <w:spacing w:after="0"/>
              <w:rPr>
                <w:sz w:val="20"/>
                <w:szCs w:val="20"/>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expenses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(46,825)</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(52,455)</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(7,322)</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(91,030)</w:t>
            </w:r>
          </w:p>
        </w:tc>
        <w:tc>
          <w:tcPr>
            <w:tcW w:w="1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(99,775)</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(13,928)</w:t>
            </w:r>
          </w:p>
        </w:tc>
      </w:tr>
      <w:tr>
        <w:trPr>
          <w:trHeight w:val="198"/>
        </w:trPr>
        <w:tc>
          <w:tcPr>
            <w:tcW w:w="3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8"/>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(49,669)</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(26,258)</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(3,665)</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(72,301)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(48,163)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(6,723)</w:t>
            </w:r>
          </w:p>
        </w:tc>
      </w:tr>
      <w:tr>
        <w:trPr>
          <w:trHeight w:val="198"/>
        </w:trPr>
        <w:tc>
          <w:tcPr>
            <w:tcW w:w="3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8"/>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(18,099)</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(15,970)</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(2,229)</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(32,479)</w:t>
            </w:r>
          </w:p>
        </w:tc>
        <w:tc>
          <w:tcPr>
            <w:tcW w:w="1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(29,441)</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(4,110)</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(308,947)</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(382,444)</w:t>
            </w:r>
          </w:p>
        </w:tc>
        <w:tc>
          <w:tcPr>
            <w:tcW w:w="2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(53,386)</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(610,359)</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(675,623)</w:t>
            </w:r>
          </w:p>
        </w:tc>
        <w:tc>
          <w:tcPr>
            <w:tcW w:w="28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(94,313)</w:t>
            </w:r>
          </w:p>
        </w:tc>
        <w:tc>
          <w:tcPr>
            <w:tcW w:w="120" w:type="dxa"/>
            <w:vAlign w:val="bottom"/>
          </w:tcPr>
          <w:p>
            <w:pPr>
              <w:spacing w:after="0"/>
              <w:rPr>
                <w:sz w:val="20"/>
                <w:szCs w:val="20"/>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(25,996)</w:t>
            </w:r>
          </w:p>
        </w:tc>
        <w:tc>
          <w:tcPr>
            <w:tcW w:w="13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14,302</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1,997</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(17,096)</w:t>
            </w: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4,912</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w:t>
            </w:r>
          </w:p>
        </w:tc>
      </w:t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1,096</w:t>
            </w:r>
          </w:p>
        </w:tc>
        <w:tc>
          <w:tcPr>
            <w:tcW w:w="13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770</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2,320</w:t>
            </w: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exchange (loss)/income</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(622)</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loss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(1,511)</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(1,583)</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(3,836)</w:t>
            </w:r>
          </w:p>
        </w:tc>
        <w:tc>
          <w:tcPr>
            <w:tcW w:w="1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(1,369)</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446</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4,904</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r>
      <w:tr>
        <w:trPr>
          <w:trHeight w:val="194"/>
        </w:trPr>
        <w:tc>
          <w:tcPr>
            <w:tcW w:w="3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Profit/(Loss) before income tax expense,</w:t>
            </w: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and share of (loss)/income of equity</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8"/>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method investee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(23,408)</w:t>
            </w:r>
          </w:p>
        </w:tc>
        <w:tc>
          <w:tcPr>
            <w:tcW w:w="13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13,313</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1,858</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(13,952)</w:t>
            </w: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5,401</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755</w:t>
            </w:r>
          </w:p>
        </w:tc>
      </w:tr>
      <w:tr>
        <w:trPr>
          <w:trHeight w:val="198"/>
        </w:trPr>
        <w:tc>
          <w:tcPr>
            <w:tcW w:w="3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Share of (loss)/income of equity method</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investee</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(1,671)</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(3,272)</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(3,424)</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profit/(loss)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2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r>
      <w:tr>
        <w:trPr>
          <w:trHeight w:val="194"/>
        </w:trPr>
        <w:tc>
          <w:tcPr>
            <w:tcW w:w="3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(loss)/profit attributable to</w:t>
            </w: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8"/>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(1,046)</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2,067</w:t>
            </w:r>
          </w:p>
        </w:tc>
        <w:tc>
          <w:tcPr>
            <w:tcW w:w="1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(1,983)</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r>
      <w:tr>
        <w:trPr>
          <w:trHeight w:val="201"/>
        </w:trPr>
        <w:tc>
          <w:tcPr>
            <w:tcW w:w="34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profit/(loss) attributable to common</w:t>
            </w: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8"/>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(23,349)</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10,876</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(16,441)</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2,289</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r>
      <w:tr>
        <w:trPr>
          <w:trHeight w:val="27"/>
        </w:trPr>
        <w:tc>
          <w:tcPr>
            <w:tcW w:w="3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profit/(loss)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(23,063)</w:t>
            </w:r>
          </w:p>
        </w:tc>
        <w:tc>
          <w:tcPr>
            <w:tcW w:w="13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9,830</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(14,374)</w:t>
            </w: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306</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r>
      <w:tr>
        <w:trPr>
          <w:trHeight w:val="198"/>
        </w:trPr>
        <w:tc>
          <w:tcPr>
            <w:tcW w:w="3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8"/>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net of tax</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(2,623)</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(1,124)</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3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profit/(loss)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(25,686)</w:t>
            </w:r>
          </w:p>
        </w:tc>
        <w:tc>
          <w:tcPr>
            <w:tcW w:w="13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8,807</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(15,498)</w:t>
            </w:r>
          </w:p>
        </w:tc>
        <w:tc>
          <w:tcPr>
            <w:tcW w:w="14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01"/>
        </w:trPr>
        <w:tc>
          <w:tcPr>
            <w:tcW w:w="34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(loss)/income attributable</w:t>
            </w: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45"/>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 non-controlling interests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2,067</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r>
      <w:tr>
        <w:trPr>
          <w:trHeight w:val="194"/>
        </w:trPr>
        <w:tc>
          <w:tcPr>
            <w:tcW w:w="3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income/(loss) attributable</w:t>
            </w: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8"/>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 Huize Holding Limited</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(25,972)</w:t>
            </w:r>
          </w:p>
        </w:tc>
        <w:tc>
          <w:tcPr>
            <w:tcW w:w="13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9,853</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1,375</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(17,565)</w:t>
            </w: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1,819</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r>
      <w:tr>
        <w:trPr>
          <w:trHeight w:val="201"/>
        </w:trPr>
        <w:tc>
          <w:tcPr>
            <w:tcW w:w="34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Weighted average number of common</w:t>
            </w: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 used in computing net loss per</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991,124,813</w:t>
            </w:r>
          </w:p>
        </w:tc>
        <w:tc>
          <w:tcPr>
            <w:tcW w:w="13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1,008,857,623</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1,008,857,623</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991,969,450</w:t>
            </w: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1,008,857,623</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1,008,857,623</w:t>
            </w:r>
          </w:p>
        </w:tc>
      </w:tr>
      <w:tr>
        <w:trPr>
          <w:trHeight w:val="194"/>
        </w:trPr>
        <w:tc>
          <w:tcPr>
            <w:tcW w:w="34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profit/(loss) per share attributable to</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13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r>
    </w:tbl>
    <w:p>
      <w:pPr>
        <w:sectPr>
          <w:pgSz w:w="11900" w:h="16838" w:orient="portrait"/>
          <w:cols w:equalWidth="0" w:num="1">
            <w:col w:w="11020"/>
          </w:cols>
          <w:pgMar w:left="440" w:top="266"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Huize Holding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Reconciliations of GAAP and Non-GAAP Results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6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40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59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960" w:type="dxa"/>
            <w:vAlign w:val="bottom"/>
          </w:tcPr>
          <w:p>
            <w:pPr>
              <w:spacing w:after="0"/>
              <w:rPr>
                <w:sz w:val="12"/>
                <w:szCs w:val="12"/>
                <w:color w:val="auto"/>
              </w:rPr>
            </w:pPr>
          </w:p>
        </w:tc>
        <w:tc>
          <w:tcPr>
            <w:tcW w:w="7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USD</w:t>
            </w:r>
          </w:p>
        </w:tc>
        <w:tc>
          <w:tcPr>
            <w:tcW w:w="220" w:type="dxa"/>
            <w:vAlign w:val="bottom"/>
          </w:tcPr>
          <w:p>
            <w:pPr>
              <w:spacing w:after="0"/>
              <w:rPr>
                <w:sz w:val="12"/>
                <w:szCs w:val="12"/>
                <w:color w:val="auto"/>
              </w:rPr>
            </w:pPr>
          </w:p>
        </w:tc>
        <w:tc>
          <w:tcPr>
            <w:tcW w:w="72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USD</w:t>
            </w:r>
          </w:p>
        </w:tc>
        <w:tc>
          <w:tcPr>
            <w:tcW w:w="120" w:type="dxa"/>
            <w:vAlign w:val="bottom"/>
          </w:tcPr>
          <w:p>
            <w:pPr>
              <w:spacing w:after="0"/>
              <w:rPr>
                <w:sz w:val="12"/>
                <w:szCs w:val="12"/>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profit/(loss) attributable to common shareholders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(23,349)</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10,876</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(16,441)</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2,289</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(3,276)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7,797</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(5,630)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(786)</w:t>
            </w:r>
          </w:p>
        </w:tc>
      </w:tr>
      <w:tr>
        <w:trPr>
          <w:trHeight w:val="27"/>
        </w:trPr>
        <w:tc>
          <w:tcPr>
            <w:tcW w:w="59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profit/(loss) attributable to common shareholders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(12,994)</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7,600</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(8,644)</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(3,341)</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r>
      <w:tr>
        <w:trPr>
          <w:trHeight w:val="20"/>
        </w:trPr>
        <w:tc>
          <w:tcPr>
            <w:tcW w:w="59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2025-09-12T08:18:12Z</dcterms:created>
  <dcterms:modified xsi:type="dcterms:W3CDTF">2025-09-12T08:18:12Z</dcterms:modified>
</cp:coreProperties>
</file>