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448945</wp:posOffset>
            </wp:positionH>
            <wp:positionV relativeFrom="paragraph">
              <wp:posOffset>200660</wp:posOffset>
            </wp:positionV>
            <wp:extent cx="624395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43955" cy="762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238760</wp:posOffset>
            </wp:positionV>
            <wp:extent cx="62439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43955" cy="7620"/>
                    </a:xfrm>
                    <a:prstGeom prst="rect">
                      <a:avLst/>
                    </a:prstGeom>
                    <a:noFill/>
                  </pic:spPr>
                </pic:pic>
              </a:graphicData>
            </a:graphic>
          </wp:anchor>
        </w:drawing>
      </w:r>
    </w:p>
    <w:p>
      <w:pPr>
        <w:spacing w:after="0" w:line="386"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ind w:left="446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200025</wp:posOffset>
            </wp:positionV>
            <wp:extent cx="13163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6355" cy="762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220980</wp:posOffset>
            </wp:positionV>
            <wp:extent cx="13163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6355" cy="762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4" w:lineRule="exact"/>
        <w:rPr>
          <w:sz w:val="24"/>
          <w:szCs w:val="24"/>
          <w:color w:val="auto"/>
        </w:rPr>
      </w:pPr>
    </w:p>
    <w:p>
      <w:pPr>
        <w:ind w:left="1100" w:right="1120" w:hanging="393"/>
        <w:spacing w:after="0" w:line="250" w:lineRule="auto"/>
        <w:tabs>
          <w:tab w:leader="none" w:pos="11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REGISTRATION STATEMENT PURSUANT TO SECTION 12(b) OR 12(g) OF THE SECURITIES EXCHANGE ACT OF 1934</w:t>
      </w:r>
    </w:p>
    <w:p>
      <w:pPr>
        <w:spacing w:after="0" w:line="156"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5" w:lineRule="exact"/>
        <w:rPr>
          <w:sz w:val="24"/>
          <w:szCs w:val="24"/>
          <w:color w:val="auto"/>
        </w:rPr>
      </w:pPr>
    </w:p>
    <w:p>
      <w:pPr>
        <w:ind w:left="1100" w:hanging="393"/>
        <w:spacing w:after="0"/>
        <w:tabs>
          <w:tab w:leader="none" w:pos="110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214"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2022.</w:t>
      </w:r>
    </w:p>
    <w:p>
      <w:pPr>
        <w:spacing w:after="0" w:line="202"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5" w:lineRule="exact"/>
        <w:rPr>
          <w:sz w:val="24"/>
          <w:szCs w:val="24"/>
          <w:color w:val="auto"/>
        </w:rPr>
      </w:pPr>
    </w:p>
    <w:p>
      <w:pPr>
        <w:ind w:left="1100" w:right="60" w:hanging="393"/>
        <w:spacing w:after="0" w:line="279" w:lineRule="auto"/>
        <w:tabs>
          <w:tab w:leader="none" w:pos="1100" w:val="left"/>
        </w:tabs>
        <w:numPr>
          <w:ilvl w:val="0"/>
          <w:numId w:val="3"/>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29" w:lineRule="exact"/>
        <w:rPr>
          <w:sz w:val="24"/>
          <w:szCs w:val="24"/>
          <w:color w:val="auto"/>
        </w:rPr>
      </w:pPr>
    </w:p>
    <w:p>
      <w:pPr>
        <w:ind w:left="3640"/>
        <w:spacing w:after="0"/>
        <w:tabs>
          <w:tab w:leader="none" w:pos="6580" w:val="left"/>
          <w:tab w:leader="none" w:pos="75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3652520</wp:posOffset>
            </wp:positionH>
            <wp:positionV relativeFrom="paragraph">
              <wp:posOffset>-5080</wp:posOffset>
            </wp:positionV>
            <wp:extent cx="1155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5700" cy="7620"/>
                    </a:xfrm>
                    <a:prstGeom prst="rect">
                      <a:avLst/>
                    </a:prstGeom>
                    <a:noFill/>
                  </pic:spPr>
                </pic:pic>
              </a:graphicData>
            </a:graphic>
          </wp:anchor>
        </w:drawing>
      </w:r>
    </w:p>
    <w:p>
      <w:pPr>
        <w:spacing w:after="0" w:line="182"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5" w:lineRule="exact"/>
        <w:rPr>
          <w:sz w:val="24"/>
          <w:szCs w:val="24"/>
          <w:color w:val="auto"/>
        </w:rPr>
      </w:pPr>
    </w:p>
    <w:p>
      <w:pPr>
        <w:ind w:left="1100" w:right="380" w:hanging="393"/>
        <w:spacing w:after="0" w:line="279" w:lineRule="auto"/>
        <w:tabs>
          <w:tab w:leader="none" w:pos="1100" w:val="left"/>
        </w:tabs>
        <w:numPr>
          <w:ilvl w:val="0"/>
          <w:numId w:val="4"/>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SHELL COMPANY REPORT PURSUANT TO SECTION 13 OR 15(d) OF THE SECURITIES EXCHANGE ACT OF 1934</w:t>
      </w:r>
    </w:p>
    <w:p>
      <w:pPr>
        <w:spacing w:after="0" w:line="12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4399280</wp:posOffset>
            </wp:positionH>
            <wp:positionV relativeFrom="paragraph">
              <wp:posOffset>-5080</wp:posOffset>
            </wp:positionV>
            <wp:extent cx="5099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9905" cy="7620"/>
                    </a:xfrm>
                    <a:prstGeom prst="rect">
                      <a:avLst/>
                    </a:prstGeom>
                    <a:noFill/>
                  </pic:spPr>
                </pic:pic>
              </a:graphicData>
            </a:graphic>
          </wp:anchor>
        </w:drawing>
      </w:r>
    </w:p>
    <w:p>
      <w:pPr>
        <w:spacing w:after="0" w:line="18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Commission file number: 001-39216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224155</wp:posOffset>
            </wp:positionV>
            <wp:extent cx="13163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6355" cy="7620"/>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39"/>
          <w:szCs w:val="39"/>
          <w:b w:val="1"/>
          <w:bCs w:val="1"/>
          <w:color w:val="auto"/>
        </w:rPr>
        <w:t>Huize Holding Limited</w:t>
      </w:r>
    </w:p>
    <w:p>
      <w:pPr>
        <w:spacing w:after="0" w:line="4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203835</wp:posOffset>
            </wp:positionV>
            <wp:extent cx="13163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16355" cy="762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(Translation of Registrant’s Name into English)</w:t>
      </w:r>
    </w:p>
    <w:p>
      <w:pPr>
        <w:spacing w:after="0" w:line="16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(Jurisdiction of Incorporation or Organization)</w:t>
      </w:r>
    </w:p>
    <w:p>
      <w:pPr>
        <w:spacing w:after="0" w:line="16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49/F, Building T1, Qianhai Financial Centre, Linhai Avenue,</w:t>
      </w:r>
    </w:p>
    <w:p>
      <w:pPr>
        <w:spacing w:after="0" w:line="27"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Qianhai Shenzhen-Hong Kong Cooperation Zone, Shenzhen 518000</w:t>
      </w:r>
    </w:p>
    <w:p>
      <w:pPr>
        <w:spacing w:after="0" w:line="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16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Ronald Tam</w:t>
      </w:r>
    </w:p>
    <w:p>
      <w:pPr>
        <w:spacing w:after="0" w:line="27"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49/F, Building T1, Qianhai Financial Centre, Linhai Avenue,</w:t>
      </w:r>
    </w:p>
    <w:p>
      <w:pPr>
        <w:spacing w:after="0" w:line="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Qianhai Shenzhen-Hong Kong Cooperation Zone, Shenzhen 518000</w:t>
      </w:r>
    </w:p>
    <w:p>
      <w:pPr>
        <w:spacing w:after="0" w:line="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Telephone: +86 755 3689 9088</w:t>
      </w:r>
    </w:p>
    <w:p>
      <w:pPr>
        <w:spacing w:after="0" w:line="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Email: tanguohao@huize.com</w:t>
      </w:r>
    </w:p>
    <w:p>
      <w:pPr>
        <w:spacing w:after="0" w:line="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3"/>
          <w:szCs w:val="13"/>
          <w:b w:val="1"/>
          <w:bCs w:val="1"/>
          <w:color w:val="auto"/>
        </w:rPr>
        <w:t>(Name, Telephone, Email and/or Facsimile number and Address of Company Contact Person)</w:t>
      </w:r>
    </w:p>
    <w:p>
      <w:pPr>
        <w:spacing w:after="0" w:line="16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12(b) of the Act:</w:t>
      </w:r>
    </w:p>
    <w:p>
      <w:pPr>
        <w:spacing w:after="0" w:line="205" w:lineRule="exact"/>
        <w:rPr>
          <w:sz w:val="24"/>
          <w:szCs w:val="24"/>
          <w:color w:val="auto"/>
        </w:rPr>
      </w:pPr>
    </w:p>
    <w:tbl>
      <w:tblPr>
        <w:tblLayout w:type="fixed"/>
        <w:tblInd w:w="700" w:type="dxa"/>
        <w:tblCellMar>
          <w:top w:w="0" w:type="dxa"/>
          <w:left w:w="0" w:type="dxa"/>
          <w:bottom w:w="0" w:type="dxa"/>
          <w:right w:w="0" w:type="dxa"/>
        </w:tblCellMar>
      </w:tblPr>
      <w:tr>
        <w:trPr>
          <w:trHeight w:val="149"/>
        </w:trPr>
        <w:tc>
          <w:tcPr>
            <w:tcW w:w="3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Title of Each Class</w:t>
            </w:r>
          </w:p>
        </w:tc>
        <w:tc>
          <w:tcPr>
            <w:tcW w:w="3240" w:type="dxa"/>
            <w:vAlign w:val="bottom"/>
            <w:gridSpan w:val="2"/>
          </w:tcPr>
          <w:p>
            <w:pPr>
              <w:ind w:left="134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Name of Each Exchange</w:t>
            </w:r>
          </w:p>
        </w:tc>
        <w:tc>
          <w:tcPr>
            <w:tcW w:w="0" w:type="dxa"/>
            <w:vAlign w:val="bottom"/>
          </w:tcPr>
          <w:p>
            <w:pPr>
              <w:spacing w:after="0"/>
              <w:rPr>
                <w:sz w:val="1"/>
                <w:szCs w:val="1"/>
                <w:color w:val="auto"/>
              </w:rPr>
            </w:pPr>
          </w:p>
        </w:tc>
      </w:tr>
      <w:tr>
        <w:trPr>
          <w:trHeight w:val="167"/>
        </w:trPr>
        <w:tc>
          <w:tcPr>
            <w:tcW w:w="3460" w:type="dxa"/>
            <w:vAlign w:val="bottom"/>
            <w:gridSpan w:val="2"/>
            <w:vMerge w:val="continue"/>
          </w:tcPr>
          <w:p>
            <w:pPr>
              <w:spacing w:after="0"/>
              <w:rPr>
                <w:sz w:val="14"/>
                <w:szCs w:val="14"/>
                <w:color w:val="auto"/>
              </w:rPr>
            </w:pPr>
          </w:p>
        </w:tc>
        <w:tc>
          <w:tcPr>
            <w:tcW w:w="3240" w:type="dxa"/>
            <w:vAlign w:val="bottom"/>
            <w:gridSpan w:val="2"/>
          </w:tcPr>
          <w:p>
            <w:pPr>
              <w:ind w:left="1360"/>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3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On Which Registered</w:t>
            </w:r>
          </w:p>
        </w:tc>
        <w:tc>
          <w:tcPr>
            <w:tcW w:w="0" w:type="dxa"/>
            <w:vAlign w:val="bottom"/>
          </w:tcPr>
          <w:p>
            <w:pPr>
              <w:spacing w:after="0"/>
              <w:rPr>
                <w:sz w:val="1"/>
                <w:szCs w:val="1"/>
                <w:color w:val="auto"/>
              </w:rPr>
            </w:pPr>
          </w:p>
        </w:tc>
      </w:tr>
      <w:tr>
        <w:trPr>
          <w:trHeight w:val="166"/>
        </w:trPr>
        <w:tc>
          <w:tcPr>
            <w:tcW w:w="3340" w:type="dxa"/>
            <w:vAlign w:val="bottom"/>
            <w:tcBorders>
              <w:top w:val="single" w:sz="8" w:color="auto"/>
            </w:tcBorders>
          </w:tcPr>
          <w:p>
            <w:pPr>
              <w:jc w:val="center"/>
              <w:spacing w:after="0" w:line="166" w:lineRule="exact"/>
              <w:rPr>
                <w:sz w:val="20"/>
                <w:szCs w:val="20"/>
                <w:color w:val="auto"/>
              </w:rPr>
            </w:pPr>
            <w:r>
              <w:rPr>
                <w:rFonts w:ascii="Times New Roman" w:cs="Times New Roman" w:eastAsia="Times New Roman" w:hAnsi="Times New Roman"/>
                <w:sz w:val="16"/>
                <w:szCs w:val="16"/>
                <w:b w:val="1"/>
                <w:bCs w:val="1"/>
                <w:color w:val="auto"/>
              </w:rPr>
              <w:t>American depositary shares (each representing</w:t>
            </w:r>
          </w:p>
        </w:tc>
        <w:tc>
          <w:tcPr>
            <w:tcW w:w="120" w:type="dxa"/>
            <w:vAlign w:val="bottom"/>
          </w:tcPr>
          <w:p>
            <w:pPr>
              <w:spacing w:after="0"/>
              <w:rPr>
                <w:sz w:val="14"/>
                <w:szCs w:val="14"/>
                <w:color w:val="auto"/>
              </w:rPr>
            </w:pPr>
          </w:p>
        </w:tc>
        <w:tc>
          <w:tcPr>
            <w:tcW w:w="3140" w:type="dxa"/>
            <w:vAlign w:val="bottom"/>
            <w:tcBorders>
              <w:top w:val="single" w:sz="8" w:color="auto"/>
            </w:tcBorders>
          </w:tcPr>
          <w:p>
            <w:pPr>
              <w:ind w:left="1360"/>
              <w:spacing w:after="0" w:line="166" w:lineRule="exact"/>
              <w:rPr>
                <w:sz w:val="20"/>
                <w:szCs w:val="20"/>
                <w:color w:val="auto"/>
              </w:rPr>
            </w:pPr>
            <w:r>
              <w:rPr>
                <w:rFonts w:ascii="Times New Roman" w:cs="Times New Roman" w:eastAsia="Times New Roman" w:hAnsi="Times New Roman"/>
                <w:sz w:val="16"/>
                <w:szCs w:val="16"/>
                <w:b w:val="1"/>
                <w:bCs w:val="1"/>
                <w:color w:val="auto"/>
              </w:rPr>
              <w:t>HUIZ</w:t>
            </w:r>
          </w:p>
        </w:tc>
        <w:tc>
          <w:tcPr>
            <w:tcW w:w="100" w:type="dxa"/>
            <w:vAlign w:val="bottom"/>
          </w:tcPr>
          <w:p>
            <w:pPr>
              <w:spacing w:after="0"/>
              <w:rPr>
                <w:sz w:val="14"/>
                <w:szCs w:val="14"/>
                <w:color w:val="auto"/>
              </w:rPr>
            </w:pPr>
          </w:p>
        </w:tc>
        <w:tc>
          <w:tcPr>
            <w:tcW w:w="3140" w:type="dxa"/>
            <w:vAlign w:val="bottom"/>
            <w:tcBorders>
              <w:top w:val="single" w:sz="8" w:color="auto"/>
            </w:tcBorders>
          </w:tcPr>
          <w:p>
            <w:pPr>
              <w:jc w:val="center"/>
              <w:spacing w:after="0" w:line="166" w:lineRule="exact"/>
              <w:rPr>
                <w:sz w:val="20"/>
                <w:szCs w:val="20"/>
                <w:color w:val="auto"/>
              </w:rPr>
            </w:pPr>
            <w:r>
              <w:rPr>
                <w:rFonts w:ascii="Times New Roman" w:cs="Times New Roman" w:eastAsia="Times New Roman" w:hAnsi="Times New Roman"/>
                <w:sz w:val="16"/>
                <w:szCs w:val="16"/>
                <w:b w:val="1"/>
                <w:bCs w:val="1"/>
                <w:color w:val="auto"/>
              </w:rPr>
              <w:t>Nasdaq Global Market</w:t>
            </w:r>
          </w:p>
        </w:tc>
        <w:tc>
          <w:tcPr>
            <w:tcW w:w="0" w:type="dxa"/>
            <w:vAlign w:val="bottom"/>
          </w:tcPr>
          <w:p>
            <w:pPr>
              <w:spacing w:after="0"/>
              <w:rPr>
                <w:sz w:val="1"/>
                <w:szCs w:val="1"/>
                <w:color w:val="auto"/>
              </w:rPr>
            </w:pPr>
          </w:p>
        </w:tc>
      </w:tr>
      <w:tr>
        <w:trPr>
          <w:trHeight w:val="193"/>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20 Class A common shares, par value</w:t>
            </w: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US$0.00001 per share) Class A common shares,</w:t>
            </w: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par value US$0.00001 per share*</w:t>
            </w: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 for trading, but only in connection with the</w:t>
            </w: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listing on the Nasdaq Global Market of</w:t>
            </w: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American depositary shares.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12(g) of the Act:</w:t>
      </w:r>
    </w:p>
    <w:p>
      <w:pPr>
        <w:spacing w:after="0" w:line="20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1"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(Title of Class)</w:t>
      </w:r>
    </w:p>
    <w:p>
      <w:pPr>
        <w:sectPr>
          <w:pgSz w:w="11900" w:h="16838" w:orient="portrait"/>
          <w:cols w:equalWidth="0" w:num="1">
            <w:col w:w="10540"/>
          </w:cols>
          <w:pgMar w:left="320" w:top="218" w:right="1039" w:bottom="0" w:gutter="0" w:footer="0" w:header="0"/>
        </w:sectPr>
      </w:pPr>
    </w:p>
    <w:p>
      <w:pPr>
        <w:spacing w:after="0" w:line="163"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6"/>
          <w:szCs w:val="16"/>
          <w:b w:val="1"/>
          <w:bCs w:val="1"/>
          <w:color w:val="auto"/>
        </w:rPr>
        <w:t>Securities for which there is a reporting obligation pursuant to Section 15(d) of the Act:</w:t>
      </w:r>
    </w:p>
    <w:p>
      <w:pPr>
        <w:sectPr>
          <w:pgSz w:w="11900" w:h="16838" w:orient="portrait"/>
          <w:cols w:equalWidth="0" w:num="1">
            <w:col w:w="10540"/>
          </w:cols>
          <w:pgMar w:left="320" w:top="218" w:right="1039" w:bottom="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191770</wp:posOffset>
            </wp:positionV>
            <wp:extent cx="13163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6355" cy="762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143" w:lineRule="exact"/>
        <w:rPr>
          <w:sz w:val="20"/>
          <w:szCs w:val="20"/>
          <w:color w:val="auto"/>
        </w:rPr>
      </w:pPr>
    </w:p>
    <w:p>
      <w:pPr>
        <w:ind w:right="840"/>
        <w:spacing w:after="0" w:line="284" w:lineRule="auto"/>
        <w:rPr>
          <w:sz w:val="20"/>
          <w:szCs w:val="20"/>
          <w:color w:val="auto"/>
        </w:rPr>
      </w:pPr>
      <w:r>
        <w:rPr>
          <w:rFonts w:ascii="Times New Roman" w:cs="Times New Roman" w:eastAsia="Times New Roman" w:hAnsi="Times New Roman"/>
          <w:sz w:val="16"/>
          <w:szCs w:val="16"/>
          <w:color w:val="auto"/>
        </w:rPr>
        <w:t>As of December 31, 2022, there were (i) 872,744,986 Class A common shares issued and outstanding, par value US$0.00001 per share, and (ii) 150,591,207 Class B common shares issued and outstanding, par value US$0.00001 per share.</w:t>
      </w:r>
    </w:p>
    <w:p>
      <w:pPr>
        <w:spacing w:after="0" w:line="117" w:lineRule="exact"/>
        <w:rPr>
          <w:sz w:val="20"/>
          <w:szCs w:val="20"/>
          <w:color w:val="auto"/>
        </w:rPr>
      </w:pPr>
    </w:p>
    <w:p>
      <w:pPr>
        <w:spacing w:after="0" w:line="184" w:lineRule="exact"/>
        <w:tabs>
          <w:tab w:leader="none" w:pos="7680" w:val="left"/>
        </w:tabs>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Yes</w:t>
      </w:r>
      <w:r>
        <w:rPr>
          <w:rFonts w:ascii="MS PGothic" w:cs="MS PGothic" w:eastAsia="MS PGothic" w:hAnsi="MS PGothic"/>
          <w:sz w:val="16"/>
          <w:szCs w:val="16"/>
          <w:color w:val="auto"/>
        </w:rPr>
        <w:t xml:space="preserve">  ☒ </w:t>
      </w:r>
      <w:r>
        <w:rPr>
          <w:rFonts w:ascii="Times New Roman" w:cs="Times New Roman" w:eastAsia="Times New Roman" w:hAnsi="Times New Roman"/>
          <w:sz w:val="16"/>
          <w:szCs w:val="16"/>
          <w:color w:val="auto"/>
        </w:rPr>
        <w:t>No</w:t>
      </w:r>
    </w:p>
    <w:p>
      <w:pPr>
        <w:spacing w:after="0" w:line="228" w:lineRule="exact"/>
        <w:rPr>
          <w:sz w:val="20"/>
          <w:szCs w:val="20"/>
          <w:color w:val="auto"/>
        </w:rPr>
      </w:pPr>
    </w:p>
    <w:p>
      <w:pPr>
        <w:ind w:right="60"/>
        <w:spacing w:after="0" w:line="210" w:lineRule="exact"/>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60" w:lineRule="exact"/>
        <w:rPr>
          <w:sz w:val="20"/>
          <w:szCs w:val="20"/>
          <w:color w:val="auto"/>
        </w:rPr>
      </w:pPr>
    </w:p>
    <w:p>
      <w:pPr>
        <w:ind w:right="20"/>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59" w:lineRule="exact"/>
        <w:rPr>
          <w:sz w:val="20"/>
          <w:szCs w:val="20"/>
          <w:color w:val="auto"/>
        </w:rPr>
      </w:pPr>
    </w:p>
    <w:p>
      <w:pPr>
        <w:ind w:right="120"/>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and “emerging growth company” in Rule 12b-2 of the Exchange Act.</w:t>
      </w:r>
    </w:p>
    <w:p>
      <w:pPr>
        <w:sectPr>
          <w:pgSz w:w="11900" w:h="16838" w:orient="portrait"/>
          <w:cols w:equalWidth="0" w:num="1">
            <w:col w:w="9840"/>
          </w:cols>
          <w:pgMar w:left="1020" w:top="121" w:right="1039" w:bottom="1440" w:gutter="0" w:footer="0" w:header="0"/>
        </w:sect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8" w:lineRule="exact"/>
        <w:rPr>
          <w:sz w:val="20"/>
          <w:szCs w:val="20"/>
          <w:color w:val="auto"/>
        </w:rPr>
      </w:pPr>
    </w:p>
    <w:p>
      <w:pPr>
        <w:sectPr>
          <w:pgSz w:w="11900" w:h="16838" w:orient="portrait"/>
          <w:cols w:equalWidth="0" w:num="6">
            <w:col w:w="1440" w:space="660"/>
            <w:col w:w="1540" w:space="720"/>
            <w:col w:w="1080" w:space="80"/>
            <w:col w:w="1340" w:space="720"/>
            <w:col w:w="1360" w:space="700"/>
            <w:col w:w="200"/>
          </w:cols>
          <w:pgMar w:left="1020" w:top="121" w:right="1039" w:bottom="1440" w:gutter="0" w:footer="0" w:header="0"/>
          <w:type w:val="continuous"/>
        </w:sectPr>
      </w:pPr>
    </w:p>
    <w:p>
      <w:pPr>
        <w:spacing w:after="0" w:line="2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9" w:lineRule="exact"/>
        <w:rPr>
          <w:sz w:val="20"/>
          <w:szCs w:val="20"/>
          <w:color w:val="auto"/>
        </w:rPr>
      </w:pPr>
    </w:p>
    <w:p>
      <w:pPr>
        <w:sectPr>
          <w:pgSz w:w="11900" w:h="16838" w:orient="portrait"/>
          <w:cols w:equalWidth="0" w:num="2">
            <w:col w:w="9340" w:space="300"/>
            <w:col w:w="200"/>
          </w:cols>
          <w:pgMar w:left="1020" w:top="121" w:right="1039" w:bottom="1440" w:gutter="0" w:footer="0" w:header="0"/>
          <w:type w:val="continuous"/>
        </w:sectPr>
      </w:pPr>
    </w:p>
    <w:p>
      <w:pPr>
        <w:spacing w:after="0" w:line="2" w:lineRule="exact"/>
        <w:rPr>
          <w:sz w:val="20"/>
          <w:szCs w:val="20"/>
          <w:color w:val="auto"/>
        </w:rPr>
      </w:pPr>
    </w:p>
    <w:p>
      <w:pPr>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 (a) of the Exchange Act. </w:t>
      </w:r>
      <w:r>
        <w:rPr>
          <w:rFonts w:ascii="MS PGothic" w:cs="MS PGothic" w:eastAsia="MS PGothic" w:hAnsi="MS PGothic"/>
          <w:sz w:val="16"/>
          <w:szCs w:val="16"/>
          <w:color w:val="auto"/>
        </w:rPr>
        <w:t>☐</w:t>
      </w:r>
    </w:p>
    <w:p>
      <w:pPr>
        <w:spacing w:after="0" w:line="184" w:lineRule="exact"/>
        <w:rPr>
          <w:sz w:val="20"/>
          <w:szCs w:val="20"/>
          <w:color w:val="auto"/>
        </w:rPr>
      </w:pPr>
    </w:p>
    <w:p>
      <w:pPr>
        <w:ind w:left="200" w:right="120" w:hanging="193"/>
        <w:spacing w:after="0" w:line="284" w:lineRule="auto"/>
        <w:tabs>
          <w:tab w:leader="none" w:pos="2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43" w:lineRule="exact"/>
        <w:rPr>
          <w:sz w:val="20"/>
          <w:szCs w:val="20"/>
          <w:color w:val="auto"/>
        </w:rPr>
      </w:pPr>
    </w:p>
    <w:p>
      <w:pPr>
        <w:ind w:right="340"/>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accountant firm that prepared or issued its audit report. </w:t>
      </w:r>
      <w:r>
        <w:rPr>
          <w:rFonts w:ascii="MS PGothic" w:cs="MS PGothic" w:eastAsia="MS PGothic" w:hAnsi="MS PGothic"/>
          <w:sz w:val="16"/>
          <w:szCs w:val="16"/>
          <w:color w:val="auto"/>
        </w:rPr>
        <w:t>☐</w:t>
      </w:r>
    </w:p>
    <w:p>
      <w:pPr>
        <w:spacing w:after="0" w:line="159" w:lineRule="exact"/>
        <w:rPr>
          <w:sz w:val="20"/>
          <w:szCs w:val="20"/>
          <w:color w:val="auto"/>
        </w:rPr>
      </w:pPr>
    </w:p>
    <w:p>
      <w:pPr>
        <w:ind w:right="80"/>
        <w:spacing w:after="0" w:line="21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60" w:lineRule="exact"/>
        <w:rPr>
          <w:sz w:val="20"/>
          <w:szCs w:val="20"/>
          <w:color w:val="auto"/>
        </w:rPr>
      </w:pPr>
    </w:p>
    <w:p>
      <w:pPr>
        <w:ind w:right="480"/>
        <w:spacing w:after="0" w:line="21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9840"/>
          </w:cols>
          <w:pgMar w:left="1020" w:top="121" w:right="1039"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GAAP</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International Financial Reporting Standards as issued</w:t>
      </w:r>
    </w:p>
    <w:p>
      <w:pPr>
        <w:spacing w:after="0" w:line="25"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64" w:lineRule="exact"/>
        <w:rPr>
          <w:sz w:val="20"/>
          <w:szCs w:val="20"/>
          <w:color w:val="auto"/>
        </w:rPr>
      </w:pPr>
    </w:p>
    <w:p>
      <w:pPr>
        <w:sectPr>
          <w:pgSz w:w="11900" w:h="16838" w:orient="portrait"/>
          <w:cols w:equalWidth="0" w:num="5">
            <w:col w:w="780" w:space="60"/>
            <w:col w:w="860" w:space="720"/>
            <w:col w:w="6120" w:space="720"/>
            <w:col w:w="360" w:space="80"/>
            <w:col w:w="140"/>
          </w:cols>
          <w:pgMar w:left="1020" w:top="121" w:right="1039" w:bottom="1440" w:gutter="0" w:footer="0" w:header="0"/>
          <w:type w:val="continuous"/>
        </w:sectPr>
      </w:pPr>
    </w:p>
    <w:p>
      <w:pPr>
        <w:ind w:right="280"/>
        <w:spacing w:after="0" w:line="210"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w:t>
      </w:r>
    </w:p>
    <w:p>
      <w:pPr>
        <w:spacing w:after="0" w:line="160" w:lineRule="exact"/>
        <w:rPr>
          <w:sz w:val="20"/>
          <w:szCs w:val="20"/>
          <w:color w:val="auto"/>
        </w:rPr>
      </w:pPr>
    </w:p>
    <w:p>
      <w:pPr>
        <w:ind w:right="1220"/>
        <w:spacing w:after="0" w:line="210" w:lineRule="exact"/>
        <w:rPr>
          <w:sz w:val="20"/>
          <w:szCs w:val="20"/>
          <w:color w:val="auto"/>
        </w:rPr>
      </w:pPr>
      <w:r>
        <w:rPr>
          <w:rFonts w:ascii="Times New Roman" w:cs="Times New Roman" w:eastAsia="Times New Roman" w:hAnsi="Times New Roman"/>
          <w:sz w:val="16"/>
          <w:szCs w:val="16"/>
          <w:color w:val="auto"/>
        </w:rPr>
        <w:t xml:space="preserve">If this is an annual report, 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(APPLICABLE ONLY TO ISSUERS INVOLVED IN BANKRUPTCY PROCEEDINGS DURING THE PAST FIVE YEARS)</w:t>
      </w:r>
    </w:p>
    <w:p>
      <w:pPr>
        <w:spacing w:after="0" w:line="204" w:lineRule="exact"/>
        <w:rPr>
          <w:sz w:val="20"/>
          <w:szCs w:val="20"/>
          <w:color w:val="auto"/>
        </w:rPr>
      </w:pPr>
    </w:p>
    <w:p>
      <w:pPr>
        <w:ind w:right="460"/>
        <w:spacing w:after="0" w:line="21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2439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43955"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165735</wp:posOffset>
            </wp:positionV>
            <wp:extent cx="62439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43955" cy="7620"/>
                    </a:xfrm>
                    <a:prstGeom prst="rect">
                      <a:avLst/>
                    </a:prstGeom>
                    <a:noFill/>
                  </pic:spPr>
                </pic:pic>
              </a:graphicData>
            </a:graphic>
          </wp:anchor>
        </w:drawing>
      </w:r>
    </w:p>
    <w:p>
      <w:pPr>
        <w:sectPr>
          <w:pgSz w:w="11900" w:h="16838" w:orient="portrait"/>
          <w:cols w:equalWidth="0" w:num="1">
            <w:col w:w="9840"/>
          </w:cols>
          <w:pgMar w:left="1020" w:top="121" w:right="10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68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0000EE"/>
              </w:rPr>
              <w:t>Table of Contents</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474"/>
        </w:trPr>
        <w:tc>
          <w:tcPr>
            <w:tcW w:w="7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0" w:type="dxa"/>
            <w:vAlign w:val="bottom"/>
            <w:gridSpan w:val="13"/>
          </w:tcPr>
          <w:p>
            <w:pPr>
              <w:ind w:left="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600" w:type="dxa"/>
            <w:vAlign w:val="bottom"/>
          </w:tcPr>
          <w:p>
            <w:pPr>
              <w:spacing w:after="0"/>
              <w:rPr>
                <w:sz w:val="24"/>
                <w:szCs w:val="24"/>
                <w:color w:val="auto"/>
              </w:rPr>
            </w:pPr>
          </w:p>
        </w:tc>
      </w:tr>
      <w:tr>
        <w:trPr>
          <w:trHeight w:val="374"/>
        </w:trPr>
        <w:tc>
          <w:tcPr>
            <w:tcW w:w="700" w:type="dxa"/>
            <w:vAlign w:val="bottom"/>
          </w:tcPr>
          <w:p>
            <w:pPr>
              <w:spacing w:after="0"/>
              <w:rPr>
                <w:sz w:val="24"/>
                <w:szCs w:val="24"/>
                <w:color w:val="auto"/>
              </w:rPr>
            </w:pPr>
          </w:p>
        </w:tc>
        <w:tc>
          <w:tcPr>
            <w:tcW w:w="9200" w:type="dxa"/>
            <w:vAlign w:val="bottom"/>
            <w:gridSpan w:val="33"/>
          </w:tcPr>
          <w:p>
            <w:pPr>
              <w:spacing w:after="0"/>
              <w:rPr>
                <w:sz w:val="20"/>
                <w:szCs w:val="20"/>
                <w:color w:val="auto"/>
              </w:rPr>
            </w:pPr>
            <w:r>
              <w:rPr>
                <w:rFonts w:ascii="Times New Roman" w:cs="Times New Roman" w:eastAsia="Times New Roman" w:hAnsi="Times New Roman"/>
                <w:sz w:val="16"/>
                <w:szCs w:val="16"/>
                <w:color w:val="0000EE"/>
              </w:rPr>
              <w:t>INTRODUCTION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7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9"/>
        </w:trPr>
        <w:tc>
          <w:tcPr>
            <w:tcW w:w="700" w:type="dxa"/>
            <w:vAlign w:val="bottom"/>
          </w:tcPr>
          <w:p>
            <w:pPr>
              <w:spacing w:after="0"/>
              <w:rPr>
                <w:sz w:val="23"/>
                <w:szCs w:val="23"/>
                <w:color w:val="auto"/>
              </w:rPr>
            </w:pPr>
          </w:p>
        </w:tc>
        <w:tc>
          <w:tcPr>
            <w:tcW w:w="9200" w:type="dxa"/>
            <w:vAlign w:val="bottom"/>
            <w:gridSpan w:val="33"/>
          </w:tcPr>
          <w:p>
            <w:pPr>
              <w:spacing w:after="0"/>
              <w:rPr>
                <w:sz w:val="20"/>
                <w:szCs w:val="20"/>
                <w:color w:val="auto"/>
              </w:rPr>
            </w:pPr>
            <w:r>
              <w:rPr>
                <w:rFonts w:ascii="Times New Roman" w:cs="Times New Roman" w:eastAsia="Times New Roman" w:hAnsi="Times New Roman"/>
                <w:sz w:val="16"/>
                <w:szCs w:val="16"/>
                <w:color w:val="0000EE"/>
              </w:rPr>
              <w:t>FORWARD-LOOKING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69"/>
        </w:trPr>
        <w:tc>
          <w:tcPr>
            <w:tcW w:w="700" w:type="dxa"/>
            <w:vAlign w:val="bottom"/>
          </w:tcPr>
          <w:p>
            <w:pPr>
              <w:spacing w:after="0"/>
              <w:rPr>
                <w:sz w:val="23"/>
                <w:szCs w:val="23"/>
                <w:color w:val="auto"/>
              </w:rPr>
            </w:pPr>
          </w:p>
        </w:tc>
        <w:tc>
          <w:tcPr>
            <w:tcW w:w="9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PART I.</w:t>
            </w:r>
          </w:p>
        </w:tc>
        <w:tc>
          <w:tcPr>
            <w:tcW w:w="24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7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9"/>
        </w:trPr>
        <w:tc>
          <w:tcPr>
            <w:tcW w:w="700" w:type="dxa"/>
            <w:vAlign w:val="bottom"/>
          </w:tcPr>
          <w:p>
            <w:pPr>
              <w:spacing w:after="0"/>
              <w:rPr>
                <w:sz w:val="23"/>
                <w:szCs w:val="23"/>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w:t>
            </w:r>
          </w:p>
        </w:tc>
        <w:tc>
          <w:tcPr>
            <w:tcW w:w="8220" w:type="dxa"/>
            <w:vAlign w:val="bottom"/>
            <w:gridSpan w:val="28"/>
          </w:tcPr>
          <w:p>
            <w:pPr>
              <w:spacing w:after="0"/>
              <w:rPr>
                <w:sz w:val="20"/>
                <w:szCs w:val="20"/>
                <w:color w:val="auto"/>
              </w:rPr>
            </w:pPr>
            <w:r>
              <w:rPr>
                <w:rFonts w:ascii="Times New Roman" w:cs="Times New Roman" w:eastAsia="Times New Roman" w:hAnsi="Times New Roman"/>
                <w:sz w:val="16"/>
                <w:szCs w:val="16"/>
                <w:color w:val="0000EE"/>
              </w:rPr>
              <w:t>IDENTITY OF DIRECTORS, SENIOR MANAGEMENT AND ADVISERS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2.</w:t>
            </w:r>
          </w:p>
        </w:tc>
        <w:tc>
          <w:tcPr>
            <w:tcW w:w="3580" w:type="dxa"/>
            <w:vAlign w:val="bottom"/>
            <w:tcBorders>
              <w:top w:val="single" w:sz="8" w:color="0000EE"/>
              <w:bottom w:val="single" w:sz="8" w:color="0000EE"/>
            </w:tcBorders>
            <w:gridSpan w:val="17"/>
          </w:tcPr>
          <w:p>
            <w:pPr>
              <w:spacing w:after="0" w:line="173" w:lineRule="exact"/>
              <w:rPr>
                <w:sz w:val="20"/>
                <w:szCs w:val="20"/>
                <w:color w:val="auto"/>
              </w:rPr>
            </w:pPr>
            <w:r>
              <w:rPr>
                <w:rFonts w:ascii="Times New Roman" w:cs="Times New Roman" w:eastAsia="Times New Roman" w:hAnsi="Times New Roman"/>
                <w:sz w:val="16"/>
                <w:szCs w:val="16"/>
                <w:color w:val="0000EE"/>
                <w:w w:val="98"/>
              </w:rPr>
              <w:t>OFFER STATISTICS AND EXPECTED TIMETABLE</w:t>
            </w:r>
          </w:p>
        </w:tc>
        <w:tc>
          <w:tcPr>
            <w:tcW w:w="1400" w:type="dxa"/>
            <w:vAlign w:val="bottom"/>
            <w:tcBorders>
              <w:top w:val="single" w:sz="8" w:color="0000EE"/>
            </w:tcBorders>
            <w:gridSpan w:val="6"/>
          </w:tcPr>
          <w:p>
            <w:pPr>
              <w:spacing w:after="0"/>
              <w:rPr>
                <w:sz w:val="15"/>
                <w:szCs w:val="15"/>
                <w:color w:val="auto"/>
              </w:rPr>
            </w:pPr>
          </w:p>
        </w:tc>
        <w:tc>
          <w:tcPr>
            <w:tcW w:w="3240" w:type="dxa"/>
            <w:vAlign w:val="bottom"/>
            <w:gridSpan w:val="5"/>
          </w:tcPr>
          <w:p>
            <w:pPr>
              <w:spacing w:after="0"/>
              <w:rPr>
                <w:sz w:val="15"/>
                <w:szCs w:val="15"/>
                <w:color w:val="auto"/>
              </w:rPr>
            </w:pP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3</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3.</w:t>
            </w:r>
          </w:p>
        </w:tc>
        <w:tc>
          <w:tcPr>
            <w:tcW w:w="8220" w:type="dxa"/>
            <w:vAlign w:val="bottom"/>
            <w:gridSpan w:val="28"/>
          </w:tcPr>
          <w:p>
            <w:pPr>
              <w:spacing w:after="0" w:line="173" w:lineRule="exact"/>
              <w:rPr>
                <w:sz w:val="20"/>
                <w:szCs w:val="20"/>
                <w:color w:val="auto"/>
              </w:rPr>
            </w:pPr>
            <w:r>
              <w:rPr>
                <w:rFonts w:ascii="Times New Roman" w:cs="Times New Roman" w:eastAsia="Times New Roman" w:hAnsi="Times New Roman"/>
                <w:sz w:val="16"/>
                <w:szCs w:val="16"/>
                <w:color w:val="0000EE"/>
              </w:rPr>
              <w:t>KEY INFORMATION</w:t>
            </w: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3</w:t>
            </w:r>
          </w:p>
        </w:tc>
      </w:tr>
      <w:tr>
        <w:trPr>
          <w:trHeight w:val="20"/>
        </w:trPr>
        <w:tc>
          <w:tcPr>
            <w:tcW w:w="7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4.</w:t>
            </w:r>
          </w:p>
        </w:tc>
        <w:tc>
          <w:tcPr>
            <w:tcW w:w="2560" w:type="dxa"/>
            <w:vAlign w:val="bottom"/>
            <w:tcBorders>
              <w:bottom w:val="single" w:sz="8" w:color="0000EE"/>
            </w:tcBorders>
            <w:gridSpan w:val="14"/>
          </w:tcPr>
          <w:p>
            <w:pPr>
              <w:spacing w:after="0" w:line="173" w:lineRule="exact"/>
              <w:rPr>
                <w:sz w:val="20"/>
                <w:szCs w:val="20"/>
                <w:color w:val="auto"/>
              </w:rPr>
            </w:pPr>
            <w:r>
              <w:rPr>
                <w:rFonts w:ascii="Times New Roman" w:cs="Times New Roman" w:eastAsia="Times New Roman" w:hAnsi="Times New Roman"/>
                <w:sz w:val="16"/>
                <w:szCs w:val="16"/>
                <w:color w:val="0000EE"/>
                <w:w w:val="98"/>
              </w:rPr>
              <w:t>INFORMATION ON THE COMPANY</w:t>
            </w:r>
          </w:p>
        </w:tc>
        <w:tc>
          <w:tcPr>
            <w:tcW w:w="5660" w:type="dxa"/>
            <w:vAlign w:val="bottom"/>
            <w:gridSpan w:val="14"/>
          </w:tcPr>
          <w:p>
            <w:pPr>
              <w:spacing w:after="0"/>
              <w:rPr>
                <w:sz w:val="15"/>
                <w:szCs w:val="15"/>
                <w:color w:val="auto"/>
              </w:rPr>
            </w:pP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74</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4.A.</w:t>
            </w:r>
          </w:p>
        </w:tc>
        <w:tc>
          <w:tcPr>
            <w:tcW w:w="8220" w:type="dxa"/>
            <w:vAlign w:val="bottom"/>
            <w:gridSpan w:val="28"/>
          </w:tcPr>
          <w:p>
            <w:pPr>
              <w:spacing w:after="0" w:line="173" w:lineRule="exact"/>
              <w:rPr>
                <w:sz w:val="20"/>
                <w:szCs w:val="20"/>
                <w:color w:val="auto"/>
              </w:rPr>
            </w:pPr>
            <w:r>
              <w:rPr>
                <w:rFonts w:ascii="Times New Roman" w:cs="Times New Roman" w:eastAsia="Times New Roman" w:hAnsi="Times New Roman"/>
                <w:sz w:val="16"/>
                <w:szCs w:val="16"/>
                <w:color w:val="0000EE"/>
              </w:rPr>
              <w:t>UNRESOLVED STAFF COMMENTS</w:t>
            </w: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117</w:t>
            </w:r>
          </w:p>
        </w:tc>
      </w:tr>
      <w:tr>
        <w:trPr>
          <w:trHeight w:val="20"/>
        </w:trPr>
        <w:tc>
          <w:tcPr>
            <w:tcW w:w="7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5.</w:t>
            </w:r>
          </w:p>
        </w:tc>
        <w:tc>
          <w:tcPr>
            <w:tcW w:w="4160" w:type="dxa"/>
            <w:vAlign w:val="bottom"/>
            <w:tcBorders>
              <w:bottom w:val="single" w:sz="8" w:color="0000EE"/>
            </w:tcBorders>
            <w:gridSpan w:val="19"/>
          </w:tcPr>
          <w:p>
            <w:pPr>
              <w:spacing w:after="0" w:line="173" w:lineRule="exact"/>
              <w:rPr>
                <w:sz w:val="20"/>
                <w:szCs w:val="20"/>
                <w:color w:val="auto"/>
              </w:rPr>
            </w:pPr>
            <w:r>
              <w:rPr>
                <w:rFonts w:ascii="Times New Roman" w:cs="Times New Roman" w:eastAsia="Times New Roman" w:hAnsi="Times New Roman"/>
                <w:sz w:val="16"/>
                <w:szCs w:val="16"/>
                <w:color w:val="0000EE"/>
                <w:w w:val="99"/>
              </w:rPr>
              <w:t>OPERATING AND FINANCIAL REVIEW AND PROSPECTS</w:t>
            </w:r>
          </w:p>
        </w:tc>
        <w:tc>
          <w:tcPr>
            <w:tcW w:w="4060" w:type="dxa"/>
            <w:vAlign w:val="bottom"/>
            <w:gridSpan w:val="9"/>
          </w:tcPr>
          <w:p>
            <w:pPr>
              <w:spacing w:after="0"/>
              <w:rPr>
                <w:sz w:val="15"/>
                <w:szCs w:val="15"/>
                <w:color w:val="auto"/>
              </w:rPr>
            </w:pP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117</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6.</w:t>
            </w:r>
          </w:p>
        </w:tc>
        <w:tc>
          <w:tcPr>
            <w:tcW w:w="4120" w:type="dxa"/>
            <w:vAlign w:val="bottom"/>
            <w:tcBorders>
              <w:bottom w:val="single" w:sz="8" w:color="0000EE"/>
            </w:tcBorders>
            <w:gridSpan w:val="18"/>
          </w:tcPr>
          <w:p>
            <w:pPr>
              <w:spacing w:after="0" w:line="173" w:lineRule="exact"/>
              <w:rPr>
                <w:sz w:val="20"/>
                <w:szCs w:val="20"/>
                <w:color w:val="auto"/>
              </w:rPr>
            </w:pPr>
            <w:r>
              <w:rPr>
                <w:rFonts w:ascii="Times New Roman" w:cs="Times New Roman" w:eastAsia="Times New Roman" w:hAnsi="Times New Roman"/>
                <w:sz w:val="16"/>
                <w:szCs w:val="16"/>
                <w:color w:val="0000EE"/>
                <w:w w:val="99"/>
              </w:rPr>
              <w:t>DIRECTORS, SENIOR MANAGEMENT AND EMPLOYEES</w:t>
            </w:r>
          </w:p>
        </w:tc>
        <w:tc>
          <w:tcPr>
            <w:tcW w:w="4100" w:type="dxa"/>
            <w:vAlign w:val="bottom"/>
            <w:gridSpan w:val="10"/>
          </w:tcPr>
          <w:p>
            <w:pPr>
              <w:spacing w:after="0"/>
              <w:rPr>
                <w:sz w:val="15"/>
                <w:szCs w:val="15"/>
                <w:color w:val="auto"/>
              </w:rPr>
            </w:pP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130</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7.</w:t>
            </w:r>
          </w:p>
        </w:tc>
        <w:tc>
          <w:tcPr>
            <w:tcW w:w="8220" w:type="dxa"/>
            <w:vAlign w:val="bottom"/>
            <w:gridSpan w:val="28"/>
          </w:tcPr>
          <w:p>
            <w:pPr>
              <w:spacing w:after="0" w:line="173" w:lineRule="exact"/>
              <w:rPr>
                <w:sz w:val="20"/>
                <w:szCs w:val="20"/>
                <w:color w:val="auto"/>
              </w:rPr>
            </w:pPr>
            <w:r>
              <w:rPr>
                <w:rFonts w:ascii="Times New Roman" w:cs="Times New Roman" w:eastAsia="Times New Roman" w:hAnsi="Times New Roman"/>
                <w:sz w:val="16"/>
                <w:szCs w:val="16"/>
                <w:color w:val="0000EE"/>
              </w:rPr>
              <w:t>MAJOR SHAREHOLDERS AND RELATED PARTY TRANSACTIONS</w:t>
            </w: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140</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8.</w:t>
            </w:r>
          </w:p>
        </w:tc>
        <w:tc>
          <w:tcPr>
            <w:tcW w:w="4780" w:type="dxa"/>
            <w:vAlign w:val="bottom"/>
            <w:tcBorders>
              <w:top w:val="single" w:sz="8" w:color="0000EE"/>
            </w:tcBorders>
            <w:gridSpan w:val="21"/>
          </w:tcPr>
          <w:p>
            <w:pPr>
              <w:spacing w:after="0" w:line="173" w:lineRule="exact"/>
              <w:rPr>
                <w:sz w:val="20"/>
                <w:szCs w:val="20"/>
                <w:color w:val="auto"/>
              </w:rPr>
            </w:pPr>
            <w:r>
              <w:rPr>
                <w:rFonts w:ascii="Times New Roman" w:cs="Times New Roman" w:eastAsia="Times New Roman" w:hAnsi="Times New Roman"/>
                <w:sz w:val="16"/>
                <w:szCs w:val="16"/>
                <w:color w:val="0000EE"/>
              </w:rPr>
              <w:t>FINANCIAL INFORMATION</w:t>
            </w:r>
          </w:p>
        </w:tc>
        <w:tc>
          <w:tcPr>
            <w:tcW w:w="3440" w:type="dxa"/>
            <w:vAlign w:val="bottom"/>
            <w:gridSpan w:val="7"/>
          </w:tcPr>
          <w:p>
            <w:pPr>
              <w:spacing w:after="0"/>
              <w:rPr>
                <w:sz w:val="15"/>
                <w:szCs w:val="15"/>
                <w:color w:val="auto"/>
              </w:rPr>
            </w:pP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141</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9.</w:t>
            </w:r>
          </w:p>
        </w:tc>
        <w:tc>
          <w:tcPr>
            <w:tcW w:w="1900" w:type="dxa"/>
            <w:vAlign w:val="bottom"/>
            <w:tcBorders>
              <w:top w:val="single" w:sz="8" w:color="0000EE"/>
              <w:bottom w:val="single" w:sz="8" w:color="0000EE"/>
            </w:tcBorders>
            <w:gridSpan w:val="6"/>
          </w:tcPr>
          <w:p>
            <w:pPr>
              <w:spacing w:after="0" w:line="173" w:lineRule="exact"/>
              <w:rPr>
                <w:sz w:val="20"/>
                <w:szCs w:val="20"/>
                <w:color w:val="auto"/>
              </w:rPr>
            </w:pPr>
            <w:r>
              <w:rPr>
                <w:rFonts w:ascii="Times New Roman" w:cs="Times New Roman" w:eastAsia="Times New Roman" w:hAnsi="Times New Roman"/>
                <w:sz w:val="16"/>
                <w:szCs w:val="16"/>
                <w:color w:val="0000EE"/>
                <w:w w:val="99"/>
              </w:rPr>
              <w:t>THE OFFER AND LISTING</w:t>
            </w:r>
          </w:p>
        </w:tc>
        <w:tc>
          <w:tcPr>
            <w:tcW w:w="100" w:type="dxa"/>
            <w:vAlign w:val="bottom"/>
            <w:tcBorders>
              <w:top w:val="single" w:sz="8" w:color="0000EE"/>
            </w:tcBorders>
            <w:gridSpan w:val="3"/>
          </w:tcPr>
          <w:p>
            <w:pPr>
              <w:spacing w:after="0"/>
              <w:rPr>
                <w:sz w:val="15"/>
                <w:szCs w:val="15"/>
                <w:color w:val="auto"/>
              </w:rPr>
            </w:pPr>
          </w:p>
        </w:tc>
        <w:tc>
          <w:tcPr>
            <w:tcW w:w="6220" w:type="dxa"/>
            <w:vAlign w:val="bottom"/>
            <w:gridSpan w:val="19"/>
          </w:tcPr>
          <w:p>
            <w:pPr>
              <w:spacing w:after="0"/>
              <w:rPr>
                <w:sz w:val="15"/>
                <w:szCs w:val="15"/>
                <w:color w:val="auto"/>
              </w:rPr>
            </w:pP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142</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10.</w:t>
            </w:r>
          </w:p>
        </w:tc>
        <w:tc>
          <w:tcPr>
            <w:tcW w:w="2140" w:type="dxa"/>
            <w:vAlign w:val="bottom"/>
            <w:tcBorders>
              <w:bottom w:val="single" w:sz="8" w:color="0000EE"/>
            </w:tcBorders>
            <w:gridSpan w:val="11"/>
          </w:tcPr>
          <w:p>
            <w:pPr>
              <w:spacing w:after="0" w:line="173" w:lineRule="exact"/>
              <w:rPr>
                <w:sz w:val="20"/>
                <w:szCs w:val="20"/>
                <w:color w:val="auto"/>
              </w:rPr>
            </w:pPr>
            <w:r>
              <w:rPr>
                <w:rFonts w:ascii="Times New Roman" w:cs="Times New Roman" w:eastAsia="Times New Roman" w:hAnsi="Times New Roman"/>
                <w:sz w:val="16"/>
                <w:szCs w:val="16"/>
                <w:color w:val="0000EE"/>
                <w:w w:val="98"/>
              </w:rPr>
              <w:t>ADDITIONAL INFORMATION</w:t>
            </w:r>
          </w:p>
        </w:tc>
        <w:tc>
          <w:tcPr>
            <w:tcW w:w="6080" w:type="dxa"/>
            <w:vAlign w:val="bottom"/>
            <w:gridSpan w:val="17"/>
          </w:tcPr>
          <w:p>
            <w:pPr>
              <w:spacing w:after="0"/>
              <w:rPr>
                <w:sz w:val="15"/>
                <w:szCs w:val="15"/>
                <w:color w:val="auto"/>
              </w:rPr>
            </w:pP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143</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11.</w:t>
            </w:r>
          </w:p>
        </w:tc>
        <w:tc>
          <w:tcPr>
            <w:tcW w:w="5480" w:type="dxa"/>
            <w:vAlign w:val="bottom"/>
            <w:tcBorders>
              <w:bottom w:val="single" w:sz="8" w:color="0000EE"/>
            </w:tcBorders>
            <w:gridSpan w:val="24"/>
          </w:tcPr>
          <w:p>
            <w:pPr>
              <w:spacing w:after="0" w:line="173" w:lineRule="exact"/>
              <w:rPr>
                <w:sz w:val="20"/>
                <w:szCs w:val="20"/>
                <w:color w:val="auto"/>
              </w:rPr>
            </w:pPr>
            <w:r>
              <w:rPr>
                <w:rFonts w:ascii="Times New Roman" w:cs="Times New Roman" w:eastAsia="Times New Roman" w:hAnsi="Times New Roman"/>
                <w:sz w:val="16"/>
                <w:szCs w:val="16"/>
                <w:color w:val="0000EE"/>
                <w:w w:val="98"/>
              </w:rPr>
              <w:t>QUANTITATIVE AND QUALITATIVE DISCLOSURES ABOUT MARKET RISK</w:t>
            </w:r>
          </w:p>
        </w:tc>
        <w:tc>
          <w:tcPr>
            <w:tcW w:w="2740" w:type="dxa"/>
            <w:vAlign w:val="bottom"/>
            <w:gridSpan w:val="4"/>
          </w:tcPr>
          <w:p>
            <w:pPr>
              <w:spacing w:after="0"/>
              <w:rPr>
                <w:sz w:val="15"/>
                <w:szCs w:val="15"/>
                <w:color w:val="auto"/>
              </w:rPr>
            </w:pP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154</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12.</w:t>
            </w:r>
          </w:p>
        </w:tc>
        <w:tc>
          <w:tcPr>
            <w:tcW w:w="8220" w:type="dxa"/>
            <w:vAlign w:val="bottom"/>
            <w:gridSpan w:val="28"/>
          </w:tcPr>
          <w:p>
            <w:pPr>
              <w:spacing w:after="0" w:line="173" w:lineRule="exact"/>
              <w:rPr>
                <w:sz w:val="20"/>
                <w:szCs w:val="20"/>
                <w:color w:val="auto"/>
              </w:rPr>
            </w:pPr>
            <w:r>
              <w:rPr>
                <w:rFonts w:ascii="Times New Roman" w:cs="Times New Roman" w:eastAsia="Times New Roman" w:hAnsi="Times New Roman"/>
                <w:sz w:val="16"/>
                <w:szCs w:val="16"/>
                <w:color w:val="0000EE"/>
              </w:rPr>
              <w:t>DESCRIPTION OF SECURITIES OTHER THAN EQUITY SECURITIES</w:t>
            </w: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155</w:t>
            </w:r>
          </w:p>
        </w:tc>
      </w:tr>
      <w:tr>
        <w:trPr>
          <w:trHeight w:val="269"/>
        </w:trPr>
        <w:tc>
          <w:tcPr>
            <w:tcW w:w="700" w:type="dxa"/>
            <w:vAlign w:val="bottom"/>
          </w:tcPr>
          <w:p>
            <w:pPr>
              <w:spacing w:after="0"/>
              <w:rPr>
                <w:sz w:val="23"/>
                <w:szCs w:val="23"/>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PART II</w:t>
            </w:r>
          </w:p>
        </w:tc>
        <w:tc>
          <w:tcPr>
            <w:tcW w:w="24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0"/>
        </w:trPr>
        <w:tc>
          <w:tcPr>
            <w:tcW w:w="70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9"/>
        </w:trPr>
        <w:tc>
          <w:tcPr>
            <w:tcW w:w="700" w:type="dxa"/>
            <w:vAlign w:val="bottom"/>
          </w:tcPr>
          <w:p>
            <w:pPr>
              <w:spacing w:after="0"/>
              <w:rPr>
                <w:sz w:val="23"/>
                <w:szCs w:val="23"/>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13.</w:t>
            </w:r>
          </w:p>
        </w:tc>
        <w:tc>
          <w:tcPr>
            <w:tcW w:w="8220" w:type="dxa"/>
            <w:vAlign w:val="bottom"/>
            <w:gridSpan w:val="28"/>
          </w:tcPr>
          <w:p>
            <w:pPr>
              <w:spacing w:after="0"/>
              <w:rPr>
                <w:sz w:val="20"/>
                <w:szCs w:val="20"/>
                <w:color w:val="auto"/>
              </w:rPr>
            </w:pPr>
            <w:r>
              <w:rPr>
                <w:rFonts w:ascii="Times New Roman" w:cs="Times New Roman" w:eastAsia="Times New Roman" w:hAnsi="Times New Roman"/>
                <w:sz w:val="16"/>
                <w:szCs w:val="16"/>
                <w:color w:val="0000EE"/>
              </w:rPr>
              <w:t>DEFAULTS, DIVIDEND ARREARAGES AND DELINQUENCIES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0"/>
        </w:trPr>
        <w:tc>
          <w:tcPr>
            <w:tcW w:w="7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14</w:t>
            </w:r>
          </w:p>
        </w:tc>
        <w:tc>
          <w:tcPr>
            <w:tcW w:w="7860" w:type="dxa"/>
            <w:vAlign w:val="bottom"/>
            <w:tcBorders>
              <w:bottom w:val="single" w:sz="8" w:color="0000EE"/>
            </w:tcBorders>
            <w:gridSpan w:val="27"/>
          </w:tcPr>
          <w:p>
            <w:pPr>
              <w:spacing w:after="0" w:line="173" w:lineRule="exact"/>
              <w:rPr>
                <w:sz w:val="20"/>
                <w:szCs w:val="20"/>
                <w:color w:val="auto"/>
              </w:rPr>
            </w:pPr>
            <w:r>
              <w:rPr>
                <w:rFonts w:ascii="Times New Roman" w:cs="Times New Roman" w:eastAsia="Times New Roman" w:hAnsi="Times New Roman"/>
                <w:sz w:val="16"/>
                <w:szCs w:val="16"/>
                <w:color w:val="0000EE"/>
                <w:w w:val="99"/>
              </w:rPr>
              <w:t>MATERIAL MODIFICATIONS TO THE RIGHTS OF SECURITY HOLDERS AND USE OF PROCEEDS MATERIAL</w:t>
            </w:r>
          </w:p>
        </w:tc>
        <w:tc>
          <w:tcPr>
            <w:tcW w:w="360" w:type="dxa"/>
            <w:vAlign w:val="bottom"/>
          </w:tcPr>
          <w:p>
            <w:pPr>
              <w:spacing w:after="0"/>
              <w:rPr>
                <w:sz w:val="15"/>
                <w:szCs w:val="15"/>
                <w:color w:val="auto"/>
              </w:rPr>
            </w:pP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158</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15.</w:t>
            </w:r>
          </w:p>
        </w:tc>
        <w:tc>
          <w:tcPr>
            <w:tcW w:w="2320" w:type="dxa"/>
            <w:vAlign w:val="bottom"/>
            <w:tcBorders>
              <w:bottom w:val="single" w:sz="8" w:color="0000EE"/>
            </w:tcBorders>
            <w:gridSpan w:val="12"/>
          </w:tcPr>
          <w:p>
            <w:pPr>
              <w:spacing w:after="0" w:line="173" w:lineRule="exact"/>
              <w:rPr>
                <w:sz w:val="20"/>
                <w:szCs w:val="20"/>
                <w:color w:val="auto"/>
              </w:rPr>
            </w:pPr>
            <w:r>
              <w:rPr>
                <w:rFonts w:ascii="Times New Roman" w:cs="Times New Roman" w:eastAsia="Times New Roman" w:hAnsi="Times New Roman"/>
                <w:sz w:val="16"/>
                <w:szCs w:val="16"/>
                <w:color w:val="0000EE"/>
                <w:w w:val="99"/>
              </w:rPr>
              <w:t>CONTROLS AND PROCEDURES</w:t>
            </w:r>
          </w:p>
        </w:tc>
        <w:tc>
          <w:tcPr>
            <w:tcW w:w="5900" w:type="dxa"/>
            <w:vAlign w:val="bottom"/>
            <w:gridSpan w:val="16"/>
          </w:tcPr>
          <w:p>
            <w:pPr>
              <w:spacing w:after="0"/>
              <w:rPr>
                <w:sz w:val="15"/>
                <w:szCs w:val="15"/>
                <w:color w:val="auto"/>
              </w:rPr>
            </w:pP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158</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16.A.</w:t>
            </w:r>
          </w:p>
        </w:tc>
        <w:tc>
          <w:tcPr>
            <w:tcW w:w="8220" w:type="dxa"/>
            <w:vAlign w:val="bottom"/>
            <w:gridSpan w:val="28"/>
          </w:tcPr>
          <w:p>
            <w:pPr>
              <w:spacing w:after="0" w:line="173" w:lineRule="exact"/>
              <w:rPr>
                <w:sz w:val="20"/>
                <w:szCs w:val="20"/>
                <w:color w:val="auto"/>
              </w:rPr>
            </w:pPr>
            <w:r>
              <w:rPr>
                <w:rFonts w:ascii="Times New Roman" w:cs="Times New Roman" w:eastAsia="Times New Roman" w:hAnsi="Times New Roman"/>
                <w:sz w:val="16"/>
                <w:szCs w:val="16"/>
                <w:color w:val="0000EE"/>
              </w:rPr>
              <w:t>AUDIT COMMITTEE FINANCIAL EXPERT</w:t>
            </w: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160</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16.B.</w:t>
            </w:r>
          </w:p>
        </w:tc>
        <w:tc>
          <w:tcPr>
            <w:tcW w:w="1280" w:type="dxa"/>
            <w:vAlign w:val="bottom"/>
            <w:tcBorders>
              <w:top w:val="single" w:sz="8" w:color="0000EE"/>
              <w:bottom w:val="single" w:sz="8" w:color="0000EE"/>
            </w:tcBorders>
            <w:gridSpan w:val="3"/>
          </w:tcPr>
          <w:p>
            <w:pPr>
              <w:spacing w:after="0" w:line="173" w:lineRule="exact"/>
              <w:rPr>
                <w:sz w:val="20"/>
                <w:szCs w:val="20"/>
                <w:color w:val="auto"/>
              </w:rPr>
            </w:pPr>
            <w:r>
              <w:rPr>
                <w:rFonts w:ascii="Times New Roman" w:cs="Times New Roman" w:eastAsia="Times New Roman" w:hAnsi="Times New Roman"/>
                <w:sz w:val="16"/>
                <w:szCs w:val="16"/>
                <w:color w:val="0000EE"/>
                <w:w w:val="98"/>
              </w:rPr>
              <w:t>CODE OF ETHICS</w:t>
            </w:r>
          </w:p>
        </w:tc>
        <w:tc>
          <w:tcPr>
            <w:tcW w:w="1740" w:type="dxa"/>
            <w:vAlign w:val="bottom"/>
            <w:tcBorders>
              <w:top w:val="single" w:sz="8" w:color="0000EE"/>
            </w:tcBorders>
            <w:gridSpan w:val="12"/>
          </w:tcPr>
          <w:p>
            <w:pPr>
              <w:spacing w:after="0"/>
              <w:rPr>
                <w:sz w:val="15"/>
                <w:szCs w:val="15"/>
                <w:color w:val="auto"/>
              </w:rPr>
            </w:pPr>
          </w:p>
        </w:tc>
        <w:tc>
          <w:tcPr>
            <w:tcW w:w="5200" w:type="dxa"/>
            <w:vAlign w:val="bottom"/>
            <w:gridSpan w:val="13"/>
          </w:tcPr>
          <w:p>
            <w:pPr>
              <w:spacing w:after="0"/>
              <w:rPr>
                <w:sz w:val="15"/>
                <w:szCs w:val="15"/>
                <w:color w:val="auto"/>
              </w:rPr>
            </w:pP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160</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16.C.</w:t>
            </w:r>
          </w:p>
        </w:tc>
        <w:tc>
          <w:tcPr>
            <w:tcW w:w="8220" w:type="dxa"/>
            <w:vAlign w:val="bottom"/>
            <w:gridSpan w:val="28"/>
          </w:tcPr>
          <w:p>
            <w:pPr>
              <w:spacing w:after="0" w:line="173" w:lineRule="exact"/>
              <w:rPr>
                <w:sz w:val="20"/>
                <w:szCs w:val="20"/>
                <w:color w:val="auto"/>
              </w:rPr>
            </w:pPr>
            <w:r>
              <w:rPr>
                <w:rFonts w:ascii="Times New Roman" w:cs="Times New Roman" w:eastAsia="Times New Roman" w:hAnsi="Times New Roman"/>
                <w:sz w:val="16"/>
                <w:szCs w:val="16"/>
                <w:color w:val="0000EE"/>
              </w:rPr>
              <w:t>PRINCIPAL ACCOUNTANT FEES AND SERVICES</w:t>
            </w: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160</w:t>
            </w:r>
          </w:p>
        </w:tc>
      </w:tr>
      <w:tr>
        <w:trPr>
          <w:trHeight w:val="20"/>
        </w:trPr>
        <w:tc>
          <w:tcPr>
            <w:tcW w:w="7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16.D.</w:t>
            </w:r>
          </w:p>
        </w:tc>
        <w:tc>
          <w:tcPr>
            <w:tcW w:w="8220" w:type="dxa"/>
            <w:vAlign w:val="bottom"/>
            <w:gridSpan w:val="28"/>
          </w:tcPr>
          <w:p>
            <w:pPr>
              <w:spacing w:after="0" w:line="173" w:lineRule="exact"/>
              <w:rPr>
                <w:sz w:val="20"/>
                <w:szCs w:val="20"/>
                <w:color w:val="auto"/>
              </w:rPr>
            </w:pPr>
            <w:r>
              <w:rPr>
                <w:rFonts w:ascii="Times New Roman" w:cs="Times New Roman" w:eastAsia="Times New Roman" w:hAnsi="Times New Roman"/>
                <w:sz w:val="16"/>
                <w:szCs w:val="16"/>
                <w:color w:val="0000EE"/>
              </w:rPr>
              <w:t>EXEMPTIONS FROM THE LISTING STANDARDS FOR AUDIT COMMITTEES</w:t>
            </w: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160</w:t>
            </w:r>
          </w:p>
        </w:tc>
      </w:tr>
      <w:tr>
        <w:trPr>
          <w:trHeight w:val="20"/>
        </w:trPr>
        <w:tc>
          <w:tcPr>
            <w:tcW w:w="7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0" w:type="dxa"/>
            <w:vAlign w:val="bottom"/>
            <w:gridSpan w:val="14"/>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16.E.</w:t>
            </w:r>
          </w:p>
        </w:tc>
        <w:tc>
          <w:tcPr>
            <w:tcW w:w="6380" w:type="dxa"/>
            <w:vAlign w:val="bottom"/>
            <w:tcBorders>
              <w:bottom w:val="single" w:sz="8" w:color="0000EE"/>
            </w:tcBorders>
            <w:gridSpan w:val="26"/>
          </w:tcPr>
          <w:p>
            <w:pPr>
              <w:spacing w:after="0" w:line="173" w:lineRule="exact"/>
              <w:rPr>
                <w:sz w:val="20"/>
                <w:szCs w:val="20"/>
                <w:color w:val="auto"/>
              </w:rPr>
            </w:pPr>
            <w:r>
              <w:rPr>
                <w:rFonts w:ascii="Times New Roman" w:cs="Times New Roman" w:eastAsia="Times New Roman" w:hAnsi="Times New Roman"/>
                <w:sz w:val="16"/>
                <w:szCs w:val="16"/>
                <w:color w:val="0000EE"/>
                <w:w w:val="99"/>
              </w:rPr>
              <w:t>PURCHASES OF EQUITY SECURITIES BY THE ISSUER AND AFFILIATED PURCHASERS</w:t>
            </w:r>
          </w:p>
        </w:tc>
        <w:tc>
          <w:tcPr>
            <w:tcW w:w="1840" w:type="dxa"/>
            <w:vAlign w:val="bottom"/>
            <w:gridSpan w:val="2"/>
          </w:tcPr>
          <w:p>
            <w:pPr>
              <w:spacing w:after="0"/>
              <w:rPr>
                <w:sz w:val="15"/>
                <w:szCs w:val="15"/>
                <w:color w:val="auto"/>
              </w:rPr>
            </w:pP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160</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16.G.</w:t>
            </w:r>
          </w:p>
        </w:tc>
        <w:tc>
          <w:tcPr>
            <w:tcW w:w="2080" w:type="dxa"/>
            <w:vAlign w:val="bottom"/>
            <w:tcBorders>
              <w:bottom w:val="single" w:sz="8" w:color="0000EE"/>
            </w:tcBorders>
            <w:gridSpan w:val="10"/>
          </w:tcPr>
          <w:p>
            <w:pPr>
              <w:spacing w:after="0" w:line="173" w:lineRule="exact"/>
              <w:rPr>
                <w:sz w:val="20"/>
                <w:szCs w:val="20"/>
                <w:color w:val="auto"/>
              </w:rPr>
            </w:pPr>
            <w:r>
              <w:rPr>
                <w:rFonts w:ascii="Times New Roman" w:cs="Times New Roman" w:eastAsia="Times New Roman" w:hAnsi="Times New Roman"/>
                <w:sz w:val="16"/>
                <w:szCs w:val="16"/>
                <w:color w:val="0000EE"/>
                <w:w w:val="98"/>
              </w:rPr>
              <w:t>CORPORATE GOVERNANCE</w:t>
            </w:r>
          </w:p>
        </w:tc>
        <w:tc>
          <w:tcPr>
            <w:tcW w:w="6140" w:type="dxa"/>
            <w:vAlign w:val="bottom"/>
            <w:gridSpan w:val="18"/>
          </w:tcPr>
          <w:p>
            <w:pPr>
              <w:spacing w:after="0"/>
              <w:rPr>
                <w:sz w:val="15"/>
                <w:szCs w:val="15"/>
                <w:color w:val="auto"/>
              </w:rPr>
            </w:pP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162</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16.H.</w:t>
            </w:r>
          </w:p>
        </w:tc>
        <w:tc>
          <w:tcPr>
            <w:tcW w:w="2080" w:type="dxa"/>
            <w:vAlign w:val="bottom"/>
            <w:tcBorders>
              <w:bottom w:val="single" w:sz="8" w:color="0000EE"/>
            </w:tcBorders>
            <w:gridSpan w:val="10"/>
          </w:tcPr>
          <w:p>
            <w:pPr>
              <w:spacing w:after="0" w:line="173" w:lineRule="exact"/>
              <w:rPr>
                <w:sz w:val="20"/>
                <w:szCs w:val="20"/>
                <w:color w:val="auto"/>
              </w:rPr>
            </w:pPr>
            <w:r>
              <w:rPr>
                <w:rFonts w:ascii="Times New Roman" w:cs="Times New Roman" w:eastAsia="Times New Roman" w:hAnsi="Times New Roman"/>
                <w:sz w:val="16"/>
                <w:szCs w:val="16"/>
                <w:color w:val="0000EE"/>
                <w:w w:val="99"/>
              </w:rPr>
              <w:t>MINE SAFETY DISCLOSURE</w:t>
            </w:r>
          </w:p>
        </w:tc>
        <w:tc>
          <w:tcPr>
            <w:tcW w:w="6140" w:type="dxa"/>
            <w:vAlign w:val="bottom"/>
            <w:gridSpan w:val="18"/>
          </w:tcPr>
          <w:p>
            <w:pPr>
              <w:spacing w:after="0"/>
              <w:rPr>
                <w:sz w:val="15"/>
                <w:szCs w:val="15"/>
                <w:color w:val="auto"/>
              </w:rPr>
            </w:pP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162</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16.I.</w:t>
            </w:r>
          </w:p>
        </w:tc>
        <w:tc>
          <w:tcPr>
            <w:tcW w:w="8220" w:type="dxa"/>
            <w:vAlign w:val="bottom"/>
            <w:gridSpan w:val="28"/>
          </w:tcPr>
          <w:p>
            <w:pPr>
              <w:spacing w:after="0" w:line="173" w:lineRule="exact"/>
              <w:rPr>
                <w:sz w:val="20"/>
                <w:szCs w:val="20"/>
                <w:color w:val="auto"/>
              </w:rPr>
            </w:pPr>
            <w:r>
              <w:rPr>
                <w:rFonts w:ascii="Times New Roman" w:cs="Times New Roman" w:eastAsia="Times New Roman" w:hAnsi="Times New Roman"/>
                <w:sz w:val="16"/>
                <w:szCs w:val="16"/>
                <w:color w:val="0000EE"/>
              </w:rPr>
              <w:t>DISCLOSURE REGARDING FOREIGN JURISDICTIONS THAT PREVENT INSPECTIONS</w:t>
            </w: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162</w:t>
            </w:r>
          </w:p>
        </w:tc>
      </w:tr>
      <w:tr>
        <w:trPr>
          <w:trHeight w:val="269"/>
        </w:trPr>
        <w:tc>
          <w:tcPr>
            <w:tcW w:w="700" w:type="dxa"/>
            <w:vAlign w:val="bottom"/>
          </w:tcPr>
          <w:p>
            <w:pPr>
              <w:spacing w:after="0"/>
              <w:rPr>
                <w:sz w:val="23"/>
                <w:szCs w:val="23"/>
                <w:color w:val="auto"/>
              </w:rPr>
            </w:pPr>
          </w:p>
        </w:tc>
        <w:tc>
          <w:tcPr>
            <w:tcW w:w="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5"/>
              </w:rPr>
              <w:t>PART III</w:t>
            </w:r>
          </w:p>
        </w:tc>
        <w:tc>
          <w:tcPr>
            <w:tcW w:w="380" w:type="dxa"/>
            <w:vAlign w:val="bottom"/>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720" w:type="dxa"/>
            <w:vAlign w:val="bottom"/>
            <w:tcBorders>
              <w:top w:val="single" w:sz="8" w:color="0000EE"/>
            </w:tcBorders>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69"/>
        </w:trPr>
        <w:tc>
          <w:tcPr>
            <w:tcW w:w="700" w:type="dxa"/>
            <w:vAlign w:val="bottom"/>
          </w:tcPr>
          <w:p>
            <w:pPr>
              <w:spacing w:after="0"/>
              <w:rPr>
                <w:sz w:val="23"/>
                <w:szCs w:val="23"/>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17.</w:t>
            </w:r>
          </w:p>
        </w:tc>
        <w:tc>
          <w:tcPr>
            <w:tcW w:w="19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w w:val="98"/>
              </w:rPr>
              <w:t>FINANCIAL STATEMENTS</w:t>
            </w:r>
          </w:p>
        </w:tc>
        <w:tc>
          <w:tcPr>
            <w:tcW w:w="6280" w:type="dxa"/>
            <w:vAlign w:val="bottom"/>
            <w:gridSpan w:val="20"/>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18.</w:t>
            </w:r>
          </w:p>
        </w:tc>
        <w:tc>
          <w:tcPr>
            <w:tcW w:w="1920" w:type="dxa"/>
            <w:vAlign w:val="bottom"/>
            <w:tcBorders>
              <w:bottom w:val="single" w:sz="8" w:color="0000EE"/>
            </w:tcBorders>
            <w:gridSpan w:val="7"/>
          </w:tcPr>
          <w:p>
            <w:pPr>
              <w:spacing w:after="0" w:line="173" w:lineRule="exact"/>
              <w:rPr>
                <w:sz w:val="20"/>
                <w:szCs w:val="20"/>
                <w:color w:val="auto"/>
              </w:rPr>
            </w:pPr>
            <w:r>
              <w:rPr>
                <w:rFonts w:ascii="Times New Roman" w:cs="Times New Roman" w:eastAsia="Times New Roman" w:hAnsi="Times New Roman"/>
                <w:sz w:val="16"/>
                <w:szCs w:val="16"/>
                <w:color w:val="0000EE"/>
                <w:w w:val="97"/>
              </w:rPr>
              <w:t>FINANCIAL STATEMENTS</w:t>
            </w:r>
          </w:p>
        </w:tc>
        <w:tc>
          <w:tcPr>
            <w:tcW w:w="6300" w:type="dxa"/>
            <w:vAlign w:val="bottom"/>
            <w:gridSpan w:val="21"/>
          </w:tcPr>
          <w:p>
            <w:pPr>
              <w:spacing w:after="0"/>
              <w:rPr>
                <w:sz w:val="15"/>
                <w:szCs w:val="15"/>
                <w:color w:val="auto"/>
              </w:rPr>
            </w:pP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163</w:t>
            </w:r>
          </w:p>
        </w:tc>
      </w:tr>
      <w:tr>
        <w:trPr>
          <w:trHeight w:val="173"/>
        </w:trPr>
        <w:tc>
          <w:tcPr>
            <w:tcW w:w="700" w:type="dxa"/>
            <w:vAlign w:val="bottom"/>
          </w:tcPr>
          <w:p>
            <w:pPr>
              <w:spacing w:after="0"/>
              <w:rPr>
                <w:sz w:val="15"/>
                <w:szCs w:val="15"/>
                <w:color w:val="auto"/>
              </w:rPr>
            </w:pPr>
          </w:p>
        </w:tc>
        <w:tc>
          <w:tcPr>
            <w:tcW w:w="980" w:type="dxa"/>
            <w:vAlign w:val="bottom"/>
            <w:gridSpan w:val="5"/>
          </w:tcPr>
          <w:p>
            <w:pPr>
              <w:spacing w:after="0" w:line="173" w:lineRule="exact"/>
              <w:rPr>
                <w:sz w:val="20"/>
                <w:szCs w:val="20"/>
                <w:color w:val="auto"/>
              </w:rPr>
            </w:pPr>
            <w:r>
              <w:rPr>
                <w:rFonts w:ascii="Times New Roman" w:cs="Times New Roman" w:eastAsia="Times New Roman" w:hAnsi="Times New Roman"/>
                <w:sz w:val="16"/>
                <w:szCs w:val="16"/>
                <w:color w:val="auto"/>
              </w:rPr>
              <w:t>ITEM 19.</w:t>
            </w:r>
          </w:p>
        </w:tc>
        <w:tc>
          <w:tcPr>
            <w:tcW w:w="8220" w:type="dxa"/>
            <w:vAlign w:val="bottom"/>
            <w:gridSpan w:val="28"/>
          </w:tcPr>
          <w:p>
            <w:pPr>
              <w:spacing w:after="0" w:line="173" w:lineRule="exact"/>
              <w:rPr>
                <w:sz w:val="20"/>
                <w:szCs w:val="20"/>
                <w:color w:val="auto"/>
              </w:rPr>
            </w:pPr>
            <w:r>
              <w:rPr>
                <w:rFonts w:ascii="Times New Roman" w:cs="Times New Roman" w:eastAsia="Times New Roman" w:hAnsi="Times New Roman"/>
                <w:sz w:val="16"/>
                <w:szCs w:val="16"/>
                <w:color w:val="0000EE"/>
              </w:rPr>
              <w:t>EXHIBITS</w:t>
            </w:r>
          </w:p>
        </w:tc>
        <w:tc>
          <w:tcPr>
            <w:tcW w:w="6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163</w:t>
            </w: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7565" cy="50800"/>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16"/>
          <w:szCs w:val="16"/>
          <w:color w:val="auto"/>
        </w:rPr>
        <w:t>i</w:t>
      </w:r>
    </w:p>
    <w:p>
      <w:pPr>
        <w:sectPr>
          <w:pgSz w:w="11900" w:h="16838" w:orient="portrait"/>
          <w:cols w:equalWidth="0" w:num="1">
            <w:col w:w="10500"/>
          </w:cols>
          <w:pgMar w:left="320" w:top="438" w:right="10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20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In this annual report on Form 20-F, or this annual report, except where the context otherwise requires and for purposes of this annual report only:</w:t>
      </w:r>
    </w:p>
    <w:p>
      <w:pPr>
        <w:spacing w:after="0" w:line="117" w:lineRule="exact"/>
        <w:rPr>
          <w:sz w:val="20"/>
          <w:szCs w:val="20"/>
          <w:color w:val="auto"/>
        </w:rPr>
      </w:pPr>
    </w:p>
    <w:p>
      <w:pPr>
        <w:ind w:left="1580" w:hanging="391"/>
        <w:spacing w:after="0"/>
        <w:tabs>
          <w:tab w:leader="none" w:pos="1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“ADRs” are to the American depositary receipts which may evidence the ADSs;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“ADSs” are to the American depositary shares, each of which represents 20 Class A common shares;</w:t>
      </w:r>
    </w:p>
    <w:p>
      <w:pPr>
        <w:spacing w:after="0" w:line="117" w:lineRule="exact"/>
        <w:rPr>
          <w:rFonts w:ascii="Times New Roman" w:cs="Times New Roman" w:eastAsia="Times New Roman" w:hAnsi="Times New Roman"/>
          <w:sz w:val="16"/>
          <w:szCs w:val="16"/>
          <w:color w:val="auto"/>
        </w:rPr>
      </w:pPr>
    </w:p>
    <w:p>
      <w:pPr>
        <w:ind w:left="1580" w:right="260" w:hanging="391"/>
        <w:spacing w:after="0" w:line="284" w:lineRule="auto"/>
        <w:tabs>
          <w:tab w:leader="none" w:pos="1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 or the “PRC” are to the People’s Republic of China, excluding, for the purposes of this annual report only, Hong Kong, Macau and Taiwan;</w:t>
      </w:r>
    </w:p>
    <w:p>
      <w:pPr>
        <w:spacing w:after="0" w:line="58"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shares” are to our Class A common shares, par value $0.00001 per share, carrying one vote per share;</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common shares” are to our Class B common shares, par value $0.00001 per share, carrying 15 votes per share;</w:t>
      </w:r>
    </w:p>
    <w:p>
      <w:pPr>
        <w:spacing w:after="0" w:line="117" w:lineRule="exact"/>
        <w:rPr>
          <w:rFonts w:ascii="Times New Roman" w:cs="Times New Roman" w:eastAsia="Times New Roman" w:hAnsi="Times New Roman"/>
          <w:sz w:val="16"/>
          <w:szCs w:val="16"/>
          <w:color w:val="auto"/>
        </w:rPr>
      </w:pPr>
    </w:p>
    <w:p>
      <w:pPr>
        <w:ind w:left="1580" w:right="200" w:hanging="391"/>
        <w:spacing w:after="0" w:line="284" w:lineRule="auto"/>
        <w:tabs>
          <w:tab w:leader="none" w:pos="1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shares” are to our Class A common shares and/or our Class B common shares, par value US$0.00001 per share, as the context may require;</w:t>
      </w:r>
    </w:p>
    <w:p>
      <w:pPr>
        <w:spacing w:after="0" w:line="58"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“GWP” are to gross written premiums, which include first year premiums and renewal premiums where applicable;</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“insurer partners” are to the insurance companies we work with who underwrite insurance products on our platform;</w:t>
      </w:r>
    </w:p>
    <w:p>
      <w:pPr>
        <w:spacing w:after="0" w:line="117" w:lineRule="exact"/>
        <w:rPr>
          <w:rFonts w:ascii="Times New Roman" w:cs="Times New Roman" w:eastAsia="Times New Roman" w:hAnsi="Times New Roman"/>
          <w:sz w:val="16"/>
          <w:szCs w:val="16"/>
          <w:color w:val="auto"/>
        </w:rPr>
      </w:pPr>
    </w:p>
    <w:p>
      <w:pPr>
        <w:ind w:left="1580" w:right="220" w:hanging="391"/>
        <w:spacing w:after="0" w:line="267" w:lineRule="auto"/>
        <w:tabs>
          <w:tab w:leader="none" w:pos="1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clients” are to purchasers of insurance products we distribute through our platform; for travel insurance products, travel agencies usually purchase policies for multiple individuals, and we count each purchasing travel agency as an insurance client, and each such individual protected by any single policy as an insured;</w:t>
      </w:r>
    </w:p>
    <w:p>
      <w:pPr>
        <w:spacing w:after="0" w:line="72" w:lineRule="exact"/>
        <w:rPr>
          <w:rFonts w:ascii="Times New Roman" w:cs="Times New Roman" w:eastAsia="Times New Roman" w:hAnsi="Times New Roman"/>
          <w:sz w:val="16"/>
          <w:szCs w:val="16"/>
          <w:color w:val="auto"/>
        </w:rPr>
      </w:pPr>
    </w:p>
    <w:p>
      <w:pPr>
        <w:ind w:left="1580" w:right="160" w:hanging="391"/>
        <w:spacing w:after="0" w:line="262" w:lineRule="auto"/>
        <w:tabs>
          <w:tab w:leader="none" w:pos="1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“insured” are to individuals that are insured under insurance policies; when calculating the number of insured for any given period, we eliminate duplicates so that an insured protected by more than one policy during the period would be counted as one insured for such period; when calculating the cumulative number of insured, we eliminate duplicates so that an insured protected by more than one policy through our platform would be counted as one insured;</w:t>
      </w:r>
    </w:p>
    <w:p>
      <w:pPr>
        <w:spacing w:after="0" w:line="76"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WFOE” are to Zhixuan International Management Consulting (Shenzhen) Co., Ltd.;</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“RMB” and “Renminbi” are to the legal currency of China;</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“U.S. dollars,” “$,” and “dollars” are to the legal currency of the United States;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“VIE” are to Shenzhen Huiye Tianze Investment Holding Co., Ltd.; and</w:t>
      </w:r>
    </w:p>
    <w:p>
      <w:pPr>
        <w:spacing w:after="0" w:line="117" w:lineRule="exact"/>
        <w:rPr>
          <w:rFonts w:ascii="Times New Roman" w:cs="Times New Roman" w:eastAsia="Times New Roman" w:hAnsi="Times New Roman"/>
          <w:sz w:val="16"/>
          <w:szCs w:val="16"/>
          <w:color w:val="auto"/>
        </w:rPr>
      </w:pPr>
    </w:p>
    <w:p>
      <w:pPr>
        <w:ind w:left="1580" w:hanging="391"/>
        <w:spacing w:after="0" w:line="267" w:lineRule="auto"/>
        <w:tabs>
          <w:tab w:leader="none" w:pos="1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“Huize,” “we,” “us,” “our company” and “our” are to Huize Holding Limited, our Cayman Islands holding company and where the context may require, include its subsidiaries, and, in the context of describing our operations and consolidated financial information, its consolidated variable interest entity and the subsidiaries of the consolidated variable interest entity in China.</w:t>
      </w:r>
    </w:p>
    <w:p>
      <w:pPr>
        <w:spacing w:after="0" w:line="157" w:lineRule="exact"/>
        <w:rPr>
          <w:sz w:val="20"/>
          <w:szCs w:val="20"/>
          <w:color w:val="auto"/>
        </w:rPr>
      </w:pPr>
    </w:p>
    <w:p>
      <w:pPr>
        <w:ind w:left="700" w:right="100" w:firstLine="393"/>
        <w:spacing w:after="0" w:line="267" w:lineRule="auto"/>
        <w:rPr>
          <w:sz w:val="20"/>
          <w:szCs w:val="20"/>
          <w:color w:val="auto"/>
        </w:rPr>
      </w:pPr>
      <w:r>
        <w:rPr>
          <w:rFonts w:ascii="Times New Roman" w:cs="Times New Roman" w:eastAsia="Times New Roman" w:hAnsi="Times New Roman"/>
          <w:sz w:val="16"/>
          <w:szCs w:val="16"/>
          <w:color w:val="auto"/>
        </w:rPr>
        <w:t>When disclosing our operating matrix, we only took into consideration our business operation in mainland China. An insurance product with a term that is longer than one year is categorized as a long-term insurance product. An independent platform refers to a platform that is not affiliated with insurance companies or other insurance industry participants.</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540"/>
          </w:cols>
          <w:pgMar w:left="320" w:top="447" w:right="10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Unless otherwise noted, all translations from Renminbi to U.S. dollars and from U.S. dollars to Renminbi in this annual report are made at a rate of RMB6.8972 to US$1.00, the exchange rate in effect as of December 30, 2022,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w:t>
      </w:r>
    </w:p>
    <w:p>
      <w:pPr>
        <w:spacing w:after="0" w:line="35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FORWARD-LOOKING INFORMATION</w:t>
      </w:r>
    </w:p>
    <w:p>
      <w:pPr>
        <w:spacing w:after="0" w:line="204" w:lineRule="exact"/>
        <w:rPr>
          <w:sz w:val="20"/>
          <w:szCs w:val="20"/>
          <w:color w:val="auto"/>
        </w:rPr>
      </w:pPr>
    </w:p>
    <w:p>
      <w:pPr>
        <w:ind w:left="700" w:right="100" w:firstLine="393"/>
        <w:spacing w:after="0" w:line="258" w:lineRule="auto"/>
        <w:rPr>
          <w:sz w:val="20"/>
          <w:szCs w:val="20"/>
          <w:color w:val="auto"/>
        </w:rPr>
      </w:pPr>
      <w:r>
        <w:rPr>
          <w:rFonts w:ascii="Times New Roman" w:cs="Times New Roman" w:eastAsia="Times New Roman" w:hAnsi="Times New Roman"/>
          <w:sz w:val="16"/>
          <w:szCs w:val="16"/>
          <w:color w:val="auto"/>
        </w:rPr>
        <w:t>This annual report contains forward-looking statements that reflect our current expectations and views of future events. These forward-looking statements are made under the “safe-harbor” provisions of the U.S. Private Securities Litigation Reform Act of 1995. Known and unknown risks, uncertainties and other factors, including those listed under “Item 3. Key Information—D. Risk Factors,” may cause our actual results, performance or achievements to be materially different from those expressed or implied by the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63"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76" w:lineRule="exact"/>
        <w:rPr>
          <w:sz w:val="20"/>
          <w:szCs w:val="20"/>
          <w:color w:val="auto"/>
        </w:rPr>
      </w:pPr>
    </w:p>
    <w:p>
      <w:pPr>
        <w:ind w:left="1580" w:hanging="391"/>
        <w:spacing w:after="0"/>
        <w:tabs>
          <w:tab w:leader="none" w:pos="1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mission, goals and strategies;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business development, financial conditions and results of operations;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growth of insurance industry in China;</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demand for and market acceptance of our products and services;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our relationships with insurance clients, insurance companies and other partners;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in our industry;</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proposed use of proceeds;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relevant government policies and regulations relating to our industry; and</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impact of COVID-19 pandemic on our current and future business development, financial condition and results of operations.</w:t>
      </w:r>
    </w:p>
    <w:p>
      <w:pPr>
        <w:spacing w:after="0" w:line="202" w:lineRule="exact"/>
        <w:rPr>
          <w:sz w:val="20"/>
          <w:szCs w:val="20"/>
          <w:color w:val="auto"/>
        </w:rPr>
      </w:pPr>
    </w:p>
    <w:p>
      <w:pPr>
        <w:ind w:left="700" w:right="60" w:firstLine="393"/>
        <w:spacing w:after="0" w:line="256" w:lineRule="auto"/>
        <w:rPr>
          <w:sz w:val="20"/>
          <w:szCs w:val="20"/>
          <w:color w:val="auto"/>
        </w:rPr>
      </w:pPr>
      <w:r>
        <w:rPr>
          <w:rFonts w:ascii="Times New Roman" w:cs="Times New Roman" w:eastAsia="Times New Roman" w:hAnsi="Times New Roman"/>
          <w:sz w:val="16"/>
          <w:szCs w:val="16"/>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Other sections of this annual report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annual report and the documents that we refer to with the understanding that our actual future results may be materially different from, or worse than, what we expect. We qualify all of our forward-looking statements by these cautionary statements.</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480"/>
          </w:cols>
          <w:pgMar w:left="320" w:top="447" w:right="10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20" w:firstLine="393"/>
        <w:spacing w:after="0" w:line="258" w:lineRule="auto"/>
        <w:rPr>
          <w:sz w:val="20"/>
          <w:szCs w:val="20"/>
          <w:color w:val="auto"/>
        </w:rPr>
      </w:pPr>
      <w:r>
        <w:rPr>
          <w:rFonts w:ascii="Times New Roman" w:cs="Times New Roman" w:eastAsia="Times New Roman" w:hAnsi="Times New Roman"/>
          <w:sz w:val="16"/>
          <w:szCs w:val="16"/>
          <w:color w:val="auto"/>
        </w:rPr>
        <w:t>This annual report contains certain data and information that we obtained from various government and private publications. Statistical data in these publications also include projections based on a number of assumptions. The insurance industry may not grow at the rate projected by market data, or at all. Failure of this market to grow at the projected rate may have a material and adverse effect on our business and the market price of the ADSs. In addition, the rapidly evolving nature of this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63" w:lineRule="exact"/>
        <w:rPr>
          <w:sz w:val="20"/>
          <w:szCs w:val="20"/>
          <w:color w:val="auto"/>
        </w:rPr>
      </w:pPr>
    </w:p>
    <w:p>
      <w:pPr>
        <w:ind w:left="700" w:right="40" w:firstLine="393"/>
        <w:spacing w:after="0" w:line="259" w:lineRule="auto"/>
        <w:rPr>
          <w:sz w:val="20"/>
          <w:szCs w:val="20"/>
          <w:color w:val="auto"/>
        </w:rPr>
      </w:pPr>
      <w:r>
        <w:rPr>
          <w:rFonts w:ascii="Times New Roman" w:cs="Times New Roman" w:eastAsia="Times New Roman" w:hAnsi="Times New Roman"/>
          <w:sz w:val="16"/>
          <w:szCs w:val="16"/>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exhibits to this annual report completely and with the understanding that our actual future results may be materially different from what we expect.</w:t>
      </w:r>
    </w:p>
    <w:p>
      <w:pPr>
        <w:spacing w:after="0" w:line="35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26"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IDENTITY OF DIRECTORS, SENIOR MANAGEMENT AND ADVISERS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Not applicable.</w:t>
      </w:r>
    </w:p>
    <w:p>
      <w:pPr>
        <w:spacing w:after="0" w:line="332"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OFFER STATISTICS AND EXPECTED TIMETABLE</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Not applicable.</w:t>
      </w:r>
    </w:p>
    <w:p>
      <w:pPr>
        <w:spacing w:after="0" w:line="332"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KEY INFORMATION</w:t>
      </w:r>
    </w:p>
    <w:p>
      <w:pPr>
        <w:spacing w:after="0" w:line="1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Our Holding Company Structure and Contractual Arrangements with the VIE</w:t>
      </w:r>
    </w:p>
    <w:p>
      <w:pPr>
        <w:spacing w:after="0" w:line="107" w:lineRule="exact"/>
        <w:rPr>
          <w:sz w:val="20"/>
          <w:szCs w:val="20"/>
          <w:color w:val="auto"/>
        </w:rPr>
      </w:pPr>
    </w:p>
    <w:p>
      <w:pPr>
        <w:ind w:left="700" w:right="20" w:firstLine="393"/>
        <w:spacing w:after="0" w:line="255" w:lineRule="auto"/>
        <w:rPr>
          <w:sz w:val="20"/>
          <w:szCs w:val="20"/>
          <w:color w:val="auto"/>
        </w:rPr>
      </w:pPr>
      <w:r>
        <w:rPr>
          <w:rFonts w:ascii="Times New Roman" w:cs="Times New Roman" w:eastAsia="Times New Roman" w:hAnsi="Times New Roman"/>
          <w:sz w:val="16"/>
          <w:szCs w:val="16"/>
          <w:color w:val="auto"/>
        </w:rPr>
        <w:t>Huize Holding Limited is not an operating company but rather a Cayman Islands holding company with no equity ownership in its VIE. Our Cayman Islands holding company does not conduct business operations directly. We conduct our operations in China primarily through (i) the VIE with which we have maintained contractual arrangements, and (ii) the VIE’s subsidiaries in China. PRC laws and regulations restrict and impose conditions on foreign direct investment in companies involved in internet-based business and insurance intermediary business. Therefore, we operate such business in China through the variable interest entity, Shenzhen Huiye Tianze Investment Holding Co., Ltd., which we refer to as the VIE in this annual report, and its subsidiaries in China, and rely on contractual arrangements among our WFOE, the VIE and its shareholders to control the business operations of the VIE. Investors in our ADSs thus are not purchasing direct equity interest in our operating entities in China but instead are purchasing equity interest in a Cayman Islands holding company. As used in this annual report, “Huize,” “we,” “us,” “our company” or “our” refers to Huize Holding Limited, and where the context requires, includes its subsidiaries, and, in the context of describing our operations and consolidated financial information, the VIE and its subsidiaries in China.</w:t>
      </w:r>
    </w:p>
    <w:p>
      <w:pPr>
        <w:spacing w:after="0" w:line="166"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A series of contractual agreements, including power of attorney, equity pledge agreement, exclusive business cooperation agreement and exclusive option and equity custody agreement, have been entered into by and among our WFOE, the VIE and its shareholders. In particular, through:</w:t>
      </w:r>
    </w:p>
    <w:p>
      <w:pPr>
        <w:spacing w:after="0" w:line="59" w:lineRule="exact"/>
        <w:rPr>
          <w:sz w:val="20"/>
          <w:szCs w:val="20"/>
          <w:color w:val="auto"/>
        </w:rPr>
      </w:pPr>
    </w:p>
    <w:p>
      <w:pPr>
        <w:ind w:left="1580" w:right="140" w:hanging="487"/>
        <w:spacing w:after="0" w:line="259" w:lineRule="auto"/>
        <w:tabs>
          <w:tab w:leader="none" w:pos="1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power of attorney, pursuant to which each shareholder of the VIE irrevocably authorized our WFOE or any person designated by our WFOE to act as its attorney-in-fact to exercise all of its rights as a shareholder of the VIE, and the equity pledge agreement, pursuant to which the shareholders of the VIE have pledged the 100% equity interests in the VIE to our WFOE to guarantee performance by the shareholders of their obligations under the exclusive business cooperation agreement, exclusive option and equity custody agreement and power of attorney, we retain effective control over the VIE;</w:t>
      </w:r>
    </w:p>
    <w:p>
      <w:pPr>
        <w:spacing w:after="0" w:line="79" w:lineRule="exact"/>
        <w:rPr>
          <w:rFonts w:ascii="Times New Roman" w:cs="Times New Roman" w:eastAsia="Times New Roman" w:hAnsi="Times New Roman"/>
          <w:sz w:val="16"/>
          <w:szCs w:val="16"/>
          <w:color w:val="auto"/>
        </w:rPr>
      </w:pPr>
    </w:p>
    <w:p>
      <w:pPr>
        <w:ind w:left="1580" w:right="260" w:hanging="487"/>
        <w:spacing w:after="0" w:line="267" w:lineRule="auto"/>
        <w:tabs>
          <w:tab w:leader="none" w:pos="1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exclusive business cooperation agreement, pursuant to which our WFOE has the exclusive right to provide the VIE with comprehensive technology and business support as well as the relevant consultations services required by the business of the VIE, or to appoint a third party to provide the VIE with such services, we may receive substantially all economic benefits from the VIE; and</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40"/>
          </w:cols>
          <w:pgMar w:left="320" w:top="447" w:right="10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1580" w:hanging="487"/>
        <w:spacing w:after="0" w:line="262" w:lineRule="auto"/>
        <w:tabs>
          <w:tab w:leader="none" w:pos="1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exclusive option and equity custody agreement, pursuant to which each of the shareholders of the VIE has irrevocably granted our WFOE an exclusive option to purchase, or have its designated third party to purchase, at its discretion, all or part of his or its equity interests in the VIE and/or the assets that the VIE holds at a nominal consideration or the lowest price permitted by applicable PRC law, we have the option to purchase the equity interest in and assets of the VIE at low cost.</w:t>
      </w:r>
    </w:p>
    <w:p>
      <w:pPr>
        <w:spacing w:after="0" w:line="161" w:lineRule="exact"/>
        <w:rPr>
          <w:sz w:val="20"/>
          <w:szCs w:val="20"/>
          <w:color w:val="auto"/>
        </w:rPr>
      </w:pPr>
    </w:p>
    <w:p>
      <w:pPr>
        <w:ind w:left="700" w:right="20" w:firstLine="393"/>
        <w:spacing w:after="0" w:line="258" w:lineRule="auto"/>
        <w:rPr>
          <w:sz w:val="20"/>
          <w:szCs w:val="20"/>
          <w:color w:val="auto"/>
        </w:rPr>
      </w:pPr>
      <w:r>
        <w:rPr>
          <w:rFonts w:ascii="Times New Roman" w:cs="Times New Roman" w:eastAsia="Times New Roman" w:hAnsi="Times New Roman"/>
          <w:sz w:val="16"/>
          <w:szCs w:val="16"/>
          <w:color w:val="auto"/>
        </w:rPr>
        <w:t>The VIE is consolidated for accounting purposes; however, neither our Cayman Islands holding company nor the investors in the holding company have an equity ownership or direct investment in the VIE. Our Cayman Island holding company is considered the ultimate primary beneficiary of the VIE and consolidates the VIE and its subsidiaries as required by Accounting Standards Codification topic 810, Consolidation. Accordingly, we treat the VIE as our consolidated entity under U.S. GAAP and we consolidate the financial results of the VIE in our consolidated financial statements in accordance with U.S. GAAP. For more details of these contractual arrangements, see “Item 4. Information on the Company—C. Organizational Structure—Contractual Arrangements with The VIE and Its Shareholders.”</w:t>
      </w:r>
    </w:p>
    <w:p>
      <w:pPr>
        <w:spacing w:after="0" w:line="163" w:lineRule="exact"/>
        <w:rPr>
          <w:sz w:val="20"/>
          <w:szCs w:val="20"/>
          <w:color w:val="auto"/>
        </w:rPr>
      </w:pPr>
    </w:p>
    <w:p>
      <w:pPr>
        <w:ind w:left="700" w:right="20" w:firstLine="393"/>
        <w:spacing w:after="0" w:line="253" w:lineRule="auto"/>
        <w:rPr>
          <w:sz w:val="20"/>
          <w:szCs w:val="20"/>
          <w:color w:val="auto"/>
        </w:rPr>
      </w:pPr>
      <w:r>
        <w:rPr>
          <w:rFonts w:ascii="Times New Roman" w:cs="Times New Roman" w:eastAsia="Times New Roman" w:hAnsi="Times New Roman"/>
          <w:sz w:val="16"/>
          <w:szCs w:val="16"/>
          <w:color w:val="auto"/>
        </w:rPr>
        <w:t>Our corporate structure is subject to risks associated with our contractual arrangements with the VIE. Our Cayman Islands holding company that investors own equity interest in may never directly hold equity interests in the businesses that are conducted by the VIE. If the PRC government finds that the agreements that establish the structure for operating our business do not comply with PRC laws and regulations, or if these regulations or their interpretations change in the future, we could be subject to severe penalties or be forced to relinquish our interests in those operations. Our holding company, our PRC subsidiary, the VIE, and investors of our company face uncertainty about potential future actions by the PRC government that could affect the enforceability of the contractual arrangements with the VIE and, consequently, significantly affect the financial performance of the VIE and our company as a whole. For a detailed description of the risks associated with our corporate structure, please refer to risks disclosed under “Item 3. Key Information—D. Risk Factors—Risks Relating to Our Corporate Structure.” In addition, the contractual arrangements may not be as effective as equity ownership in providing us with control over the VIE, and we may incur substantial costs to enforce the terms of the arrangements. Uncertainties in the PRC legal system may limit our ability, as a Cayman Islands holding company, to enforce these contractual arrangements. Meanwhile, based on officially published and publicly available judgements, the legality and validity of VIE contractual arrangements have not been tested in a court of law in the PRC. There are very few precedents as to whether contractual arrangements would be judged to form effective control over the relevant VIE through the contractual arrangements, or how contractual arrangements in the context of a variable interest entity should be interpreted or enforced by the PRC courts. Should legal actions become necessary, we cannot guarantee that the court will rule in favor of the enforceability of the variable interest entity contractual arrangements. In the event we are unable to enforce these contractual arrangements, or if we suffer significant delay or other obstacles in the process of enforcing these contractual arrangements, we may not be able to exert effective control over the VIE, and our ability to conduct our business may be materially adversely affected. See “Item 3. Key Information—D. Risk Factors—Risks Relating to Our Corporate Structure—We rely on contractual arrangements with the VIE, and its shareholders for our operations in China, which may not be as effective as equity ownership in providing operational control,” and “—The shareholders and directors of the VIE may have potential conflicts of interest with us, and if any such conflicts of interest are not resolved in our favor, our business may be materially and adversely affected.”</w:t>
      </w:r>
    </w:p>
    <w:p>
      <w:pPr>
        <w:spacing w:after="0" w:line="1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540"/>
          </w:cols>
          <w:pgMar w:left="320" w:top="447" w:right="10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40" w:firstLine="393"/>
        <w:spacing w:after="0" w:line="284" w:lineRule="auto"/>
        <w:rPr>
          <w:sz w:val="20"/>
          <w:szCs w:val="20"/>
          <w:color w:val="auto"/>
        </w:rPr>
      </w:pPr>
      <w:r>
        <w:rPr>
          <w:rFonts w:ascii="Times New Roman" w:cs="Times New Roman" w:eastAsia="Times New Roman" w:hAnsi="Times New Roman"/>
          <w:sz w:val="16"/>
          <w:szCs w:val="16"/>
          <w:color w:val="auto"/>
        </w:rPr>
        <w:t>The following diagram illustrates our current corporate structure, which includes our significant subsidiaries, the VIE and its material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116840</wp:posOffset>
            </wp:positionV>
            <wp:extent cx="5501640" cy="3841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01640" cy="384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Note:</w:t>
      </w:r>
    </w:p>
    <w:p>
      <w:pPr>
        <w:spacing w:after="0" w:line="117" w:lineRule="exact"/>
        <w:rPr>
          <w:sz w:val="20"/>
          <w:szCs w:val="20"/>
          <w:color w:val="auto"/>
        </w:rPr>
      </w:pPr>
    </w:p>
    <w:p>
      <w:pPr>
        <w:ind w:left="1100" w:right="100" w:hanging="393"/>
        <w:spacing w:after="0" w:line="262" w:lineRule="auto"/>
        <w:tabs>
          <w:tab w:leader="none" w:pos="11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of Shenzhen Huiye Tianze Investment Holding Co., Ltd., or Huiye Tianze, are: (1) Shenzhen Huidecheng Investment Development Limited Partnership and Shenzhen Huideli Consulting Management Limited Partnership, both as our PRC ESOP holding entities, holding an aggregate of 49.43% shares in Huiye Tianze; (2) PRC holding entities of the shareholders of our Cayman Islands holding company, holding an aggregate of 50.57% shares in Huiye Tianze.</w:t>
      </w:r>
    </w:p>
    <w:p>
      <w:pPr>
        <w:spacing w:after="0" w:line="161"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We face various legal and operational risks and uncertainties associated with being based in or having our operations primarily in China and the complex and evolving PRC laws and regulations. For example, we face risks associated with regulatory approvals on offerings conducted overseas by and foreign investment in China-based issuers, the use of the VIE, anti-monopoly regulatory actions, oversight on cybersecurity and data privacy, which may impact our ability to conduct certain businesses, accept foreign investments, or list on or remain listed on a United States or other foreign exchange. These risks could result in a material adverse change in our operations and the value of our ADSs, significantly limit or completely hinder our ability to offer or continue to offer securities to investors, or cause the value of such securities to significantly decline or become worthless. For a detailed description of risks related to doing business in China, see “Item 3. Key Information—D. Risk Factors—Risks Relating to Doing Business in China.”</w:t>
      </w:r>
    </w:p>
    <w:p>
      <w:pPr>
        <w:spacing w:after="0" w:line="169"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worthless. For more details, see “Item 3. Key Information—D. Risk Factors—Risks Relating to Doing Business in China—The PRC government’s significant oversight and discretion over our business operation could result in a material adverse change in our operations and the value of our ADSs.”</w:t>
      </w:r>
    </w:p>
    <w:p>
      <w:pPr>
        <w:spacing w:after="0" w:line="1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520"/>
          </w:cols>
          <w:pgMar w:left="320" w:top="447" w:right="10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140" w:firstLine="393"/>
        <w:spacing w:after="0" w:line="262" w:lineRule="auto"/>
        <w:rPr>
          <w:sz w:val="20"/>
          <w:szCs w:val="20"/>
          <w:color w:val="auto"/>
        </w:rPr>
      </w:pPr>
      <w:r>
        <w:rPr>
          <w:rFonts w:ascii="Times New Roman" w:cs="Times New Roman" w:eastAsia="Times New Roman" w:hAnsi="Times New Roman"/>
          <w:sz w:val="16"/>
          <w:szCs w:val="16"/>
          <w:color w:val="auto"/>
        </w:rPr>
        <w:t>Risks and uncertainties arising from the legal system in China, including risks and uncertainties regarding the enforcement of laws and quickly evolving rules and regulations in China, could result in a material adverse change in our operations and the value of our ADSs. For more details, see “Item 3. Key Information—D. Risk Factors—Risks Relating to Doing Business in China—Uncertainties in the interpretation and enforcement of PRC laws and regulations could limit the legal protections available to you and us.”</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The Holding Foreign Companies Accountable Act</w:t>
      </w:r>
    </w:p>
    <w:p>
      <w:pPr>
        <w:spacing w:after="0" w:line="107" w:lineRule="exact"/>
        <w:rPr>
          <w:sz w:val="20"/>
          <w:szCs w:val="20"/>
          <w:color w:val="auto"/>
        </w:rPr>
      </w:pPr>
    </w:p>
    <w:p>
      <w:pPr>
        <w:ind w:left="700" w:firstLine="393"/>
        <w:spacing w:after="0" w:line="253" w:lineRule="auto"/>
        <w:rPr>
          <w:sz w:val="20"/>
          <w:szCs w:val="20"/>
          <w:color w:val="auto"/>
        </w:rPr>
      </w:pPr>
      <w:r>
        <w:rPr>
          <w:rFonts w:ascii="Times New Roman" w:cs="Times New Roman" w:eastAsia="Times New Roman" w:hAnsi="Times New Roman"/>
          <w:sz w:val="16"/>
          <w:szCs w:val="16"/>
          <w:color w:val="auto"/>
        </w:rPr>
        <w:t>Pursuant to the Holding Foreign Companies Accountable Act,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the SEC conclusively listed us as a Commission-Identified Issuer under the HFCAA following the filing of this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For this reason, we do not expect to be identified as a Commission-Identified Issuer under the HFCAA after we file this annual report on Form 20-F.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 Risks Relating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Information—D. Risk Factors—Risks Relating to Doing Business in China—Our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2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Permissions Required from the PRC Authorities for Our Operations</w:t>
      </w:r>
    </w:p>
    <w:p>
      <w:pPr>
        <w:spacing w:after="0" w:line="107" w:lineRule="exact"/>
        <w:rPr>
          <w:sz w:val="20"/>
          <w:szCs w:val="20"/>
          <w:color w:val="auto"/>
        </w:rPr>
      </w:pPr>
    </w:p>
    <w:p>
      <w:pPr>
        <w:ind w:left="700" w:right="20" w:firstLine="393"/>
        <w:spacing w:after="0" w:line="253" w:lineRule="auto"/>
        <w:rPr>
          <w:sz w:val="20"/>
          <w:szCs w:val="20"/>
          <w:color w:val="auto"/>
        </w:rPr>
      </w:pPr>
      <w:r>
        <w:rPr>
          <w:rFonts w:ascii="Times New Roman" w:cs="Times New Roman" w:eastAsia="Times New Roman" w:hAnsi="Times New Roman"/>
          <w:sz w:val="16"/>
          <w:szCs w:val="16"/>
          <w:color w:val="auto"/>
        </w:rPr>
        <w:t>We conduct our business primarily through our PRC subsidiary, the VIE and its subsidiaries in China. Our operations in China are governed by PRC laws and regulations. As of the date of this annual report, our PRC subsidiary, the VIE and its subsidiaries have obtained the requisite licenses and permits from the PRC government authorities that are material for the business operations of our holding company, the VIE and its subsidiaries in the PRC in all material respects, including, among others, the value-added telecommunications business operating license, the license to operate insurance brokerage business, the license to operate insurance agency business, the record-filing certificate on insurance adjustment assessment business and the record-filing certificate on the graded protection of information system security. Any failure to obtain or delay in obtaining such permissions or approvals, or a rescission of any such approval if obtained by us, would subject us to sanctions by the applicable PRC regulatory authorities.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ADSs. Given the uncertainties of interpretation and implementation of relevant laws and regulations and the enforcement practice by relevant government authorities, we may be required to obtain additional licenses, permits, filings or approvals for the functions and services of our platform in the future. For more detailed information, see “Item 3. Key Information—D. Risk Factors—Risks Relating to Our Business and Industry—Failure to obtain, renew, or retain licenses, permits or approvals may affect our ability to conduct or expand our business” and “—We may be adversely affected by the complexity, uncertainties and changes in PRC regulations of internet-related businesses and companies, and any lack of requisite approvals, licenses or permits applicable to our business may have a material adverse effect on our business and results of operations.”</w:t>
      </w:r>
    </w:p>
    <w:p>
      <w:pPr>
        <w:spacing w:after="0" w:line="1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520"/>
          </w:cols>
          <w:pgMar w:left="320" w:top="447" w:right="10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52" w:lineRule="auto"/>
        <w:rPr>
          <w:sz w:val="20"/>
          <w:szCs w:val="20"/>
          <w:color w:val="auto"/>
        </w:rPr>
      </w:pPr>
      <w:r>
        <w:rPr>
          <w:rFonts w:ascii="Times New Roman" w:cs="Times New Roman" w:eastAsia="Times New Roman" w:hAnsi="Times New Roman"/>
          <w:sz w:val="16"/>
          <w:szCs w:val="16"/>
          <w:color w:val="auto"/>
        </w:rPr>
        <w:t>Meanwhile, the PRC government has recently sought to exert more oversight and control over capital raising activities of listed companies that are conducted overseas and/or foreign investment in China-based issuers. In December 2021, the Cyberspace Administration of China, or the CAC, together with other authorities, jointly promulgated the Cybersecurity Review Measures, which became effective on February 15, 2022, and replaces its predecessor regulation. Pursuant to the Cybersecurity Review Measures, critical information infrastructure operators that procure internet products and services and network platform operators that conduct data process activities must be subject to the cybersecurity review if their activities affect or may affect national security. The Cybersecurity Review Measures further stipulates that network platform operators that hold personal information of over one million users shall apply with the Cybersecurity Review Office for a cybersecurity review before any public offering at a foreign stock exchange. On July 7, 2022, the CAC issued the Measures for the Security Assessment of Data Cross-border Transfer, which became effective on September 1, 2022. The Measures for the Security Assessment of Data Cross-border Transfer requires that any data processor providing important data collected and generated during operations within the territory of the PRC or personal information that should be subject to security assessment according to law to an overseas recipient shall conduct security assessment. The Measures for the Security Assessment of Data Cross-border Transfer provides certain circumstances, under any of which data processors shall, through the local cyberspace administration at the provincial level, apply to the national cyberspace administration for security assessment of data cross-border transfer. These circumstances include: (i) where a data processor transfers important data overseas; (ii) where a critical information infrastructure operator, or a data processor processing the personal information of more than one million individuals, who, in either case, transfers personal information overseas; (iii) where a data processor who has, since January 1 of the previous year cumulatively transferred overseas the personal information of more than 100,000 individuals, or the sensitive personal information of more than 10,000 individuals; or (iv) other circumstances under which security assessment of data cross-border transfer is required as prescribed by the national cyberspace administration. On February 17, 2023, China Securities Regulatory Commission, or the CSRC, released several regulations regarding the filing requirements for overseas offerings and listings by domestic companies, including the Trial Administrative Measures of Overseas Securities Offering and Listing by Domestic Companies and five supporting guidelines (collectively, the “Overseas Listing Filing Rules”), which were formally implemented on March 31, 2023. According to the Overseas Listing Filing Rules, the overseas offering and listing by a domestic company, whether directly or indirectly, shall be filed with the CSRC. Any failure to obtain or delay in obtaining such approval or completing such procedures could subject us to restrictions and penalties imposed by the CSRC, the CAC or other PRC regulatory authorities, which could include fines and penalties on our operations in China, delays of or restrictions on the repatriation of the proceeds from our offshore offerings into China, or other actions that could materially and adversely affect our business, financial condition, results of operations, and prospects, as well as the trading price of our ADSs. For more detailed information, see “Item 3. Key Information — D. Risk Factors — Risks Related to Doing Business in China—The approval of and filing with the CSRC or other PRC government authorities may be required in connection with our offshore offerings under PRC law, and, if required, we cannot predict whether or for how long we will be able to obtain such approval or complete such filing.” As of the date of this annual report, we have not been required to file with the CSRC, nor have we been subject to any cybersecurity review initiated by the CAC. If (i) we fail to obtain the relevant approval or complete other filing procedures, (ii) we inadvertently conclude that such approval or filing procedures are not required, while they actually are required, or (iii) we are required to obtain the relevant approval or complete other filing procedures as a result of changes of applicable laws, regulations or interpretations thereof but fail to do so, we may face sanctions by the CSRC or other PRC regulatory authorities, which may include fines and penalties on our operations in China, limitations on our operating privileges in China, restrictions on or prohibition of the payments or remittance of dividends by our subsidiaries in China, restrictions on or delays to our future financing transactions offshore, or other actions that could have a material and adverse effect on our business, financial condition, results of operations, reputation and prospects, as well as the trading price of our ADSs. For more detailed information, see “Item 3. Key Information—D. Risk Factors—Risks Relating to Doing Business in China—The approval of and filing with the CSRC or other PRC government authorities may be required in connection with our offshore offerings under PRC law, and, if required, we cannot predict whether or for how long we will be able to obtain such approval or complete such filing” and “—Our business generates and processes a large amount of data, and is subject to complex and evolving Chinese and international laws and regulations regarding privacy, data protection and cybersecurity. Any failure to protect the confidential information of third parties or improper use or disclosure of such data may subject us to liabilities imposed by data privacy and protection laws and regulations, negatively impact our reputation, and deter our clients from using our online platform..”</w:t>
      </w:r>
    </w:p>
    <w:p>
      <w:pPr>
        <w:spacing w:after="0" w:line="1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540"/>
          </w:cols>
          <w:pgMar w:left="320" w:top="447" w:right="10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Cash Flows through Our Organization</w:t>
      </w:r>
    </w:p>
    <w:p>
      <w:pPr>
        <w:spacing w:after="0" w:line="107" w:lineRule="exact"/>
        <w:rPr>
          <w:sz w:val="20"/>
          <w:szCs w:val="20"/>
          <w:color w:val="auto"/>
        </w:rPr>
      </w:pPr>
    </w:p>
    <w:p>
      <w:pPr>
        <w:ind w:left="700" w:right="60" w:firstLine="393"/>
        <w:spacing w:after="0" w:line="253" w:lineRule="auto"/>
        <w:rPr>
          <w:sz w:val="20"/>
          <w:szCs w:val="20"/>
          <w:color w:val="auto"/>
        </w:rPr>
      </w:pPr>
      <w:r>
        <w:rPr>
          <w:rFonts w:ascii="Times New Roman" w:cs="Times New Roman" w:eastAsia="Times New Roman" w:hAnsi="Times New Roman"/>
          <w:sz w:val="16"/>
          <w:szCs w:val="16"/>
          <w:color w:val="auto"/>
        </w:rPr>
        <w:t>We have established stringent controls and procedures for cash flows within our organization. Each transfer of cash between our Cayman Islands holding company and a subsidiary, the VIE or the subsidiaries of the VIE is subject to internal approval. The cash of our group is under the unified management of our finance department, and is dispatched and applied to each operating entity based on the budget and operating conditions of the specific operating entity. Each cash requirement, after raised by an operating entity, is required to go through a three-level review process of our finance department. The funding team of the finance department will allocate the cash to the operating entity after the application for cash requirement is approved by the responsible person in the finance department. To date, we have not had difficulty in transferring cash between our Cayman Islands holding company and a subsidiary, the VIE or the subsidiaries of the VIE. The cash inflows of the Cayman Islands holding company were primarily generated from our initial public offering in February 2020. In 2020, 2021 and 2022, the Cayman Islands holding company transferred cash in the total amount of RMB156.0 million (US$22.6 million) to our PRC subsidiary and the subsidiaries of the VIE through our offshore intermediate holding entities in two methods: (i) Hong Kong Smart Choice Ventures Limited, our Hong Kong subsidiary, made capital contribution to Zhixuan International Management Consulting (Shenzhen) Co., Ltd., our WFOE, in the amount of RMB0.5 million in 2020, RMB129.5 million in 2021 and nil in 2022; our WFOE and its subsidiary then provided inter-company loan of RMB128.0 million in 2021 and RMB6.0 million (US$0.9 million) in 2022 to the VIE;</w:t>
      </w:r>
    </w:p>
    <w:p>
      <w:pPr>
        <w:spacing w:after="0" w:line="3" w:lineRule="exact"/>
        <w:rPr>
          <w:sz w:val="20"/>
          <w:szCs w:val="20"/>
          <w:color w:val="auto"/>
        </w:rPr>
      </w:pPr>
    </w:p>
    <w:p>
      <w:pPr>
        <w:ind w:left="700" w:firstLine="7"/>
        <w:spacing w:after="0" w:line="252" w:lineRule="auto"/>
        <w:tabs>
          <w:tab w:leader="none" w:pos="93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cross-border guarantee, where our Hong Kong subsidiary provided guarantee to certain China-based commercial banks or their offshore branches by pledging offshore cash deposits, and the onshore branches of these banks granted loans to the subsidiaries of the VIE, namely, Huize Insurance Brokerage Co., Ltd. and Shenzhen Huize Shidai Co., Ltd, in the amount of RMB85.4 million in 2020, RMB14.0 million in 2021 and nil in 2022. The subsidiaries of the VIE repaid the loan in a total amount of RMB32.7 million in 2021 and RMB46.7 million (US$6.8 million) in 2022. For the years ended December 31, 2020, 2021 and 2022, no assets other than cash were transferred between our Cayman Islands holding company and a subsidiary, no subsidiaries paid dividends or made other distributions to the Cayman Islands holding company, and no dividends or distributions were paid or made to U.S. investors. We intend to settle service fees under our contractual arrangements with the VIE when there is a business need and as our WFOE sees fit. For details of the financial position, cash flows and results of operations of the VIE and its subsidiaries, see “Item 3. Key Information—Financial Information Related to the Consolidated Variable Interest Entity.”</w:t>
      </w:r>
    </w:p>
    <w:p>
      <w:pPr>
        <w:spacing w:after="0" w:line="173" w:lineRule="exact"/>
        <w:rPr>
          <w:sz w:val="20"/>
          <w:szCs w:val="20"/>
          <w:color w:val="auto"/>
        </w:rPr>
      </w:pPr>
    </w:p>
    <w:p>
      <w:pPr>
        <w:ind w:left="700" w:right="80" w:firstLine="393"/>
        <w:spacing w:after="0" w:line="267" w:lineRule="auto"/>
        <w:rPr>
          <w:sz w:val="20"/>
          <w:szCs w:val="20"/>
          <w:color w:val="auto"/>
        </w:rPr>
      </w:pPr>
      <w:r>
        <w:rPr>
          <w:rFonts w:ascii="Times New Roman" w:cs="Times New Roman" w:eastAsia="Times New Roman" w:hAnsi="Times New Roman"/>
          <w:sz w:val="16"/>
          <w:szCs w:val="16"/>
          <w:color w:val="auto"/>
        </w:rPr>
        <w:t>As a Cayman Islands holding company, we may receive dividends from our PRC subsidiary through Hong Kong Smart Choice Ventures Limited. The Enterprise Income Tax Law of the PRC, or the EIT Law, and its implementing rules, provide that dividends paid by a PRC entity to a nonresident enterprise for income tax purposes is subject to PRC withholding tax at a rate of 10%, subject to reduction by an applicable tax treaty with China.</w:t>
      </w:r>
    </w:p>
    <w:p>
      <w:pPr>
        <w:spacing w:after="0" w:line="157" w:lineRule="exact"/>
        <w:rPr>
          <w:sz w:val="20"/>
          <w:szCs w:val="20"/>
          <w:color w:val="auto"/>
        </w:rPr>
      </w:pPr>
    </w:p>
    <w:p>
      <w:pPr>
        <w:ind w:left="700" w:firstLine="393"/>
        <w:spacing w:after="0" w:line="253" w:lineRule="auto"/>
        <w:rPr>
          <w:sz w:val="20"/>
          <w:szCs w:val="20"/>
          <w:color w:val="auto"/>
        </w:rPr>
      </w:pPr>
      <w:r>
        <w:rPr>
          <w:rFonts w:ascii="Times New Roman" w:cs="Times New Roman" w:eastAsia="Times New Roman" w:hAnsi="Times New Roman"/>
          <w:sz w:val="16"/>
          <w:szCs w:val="16"/>
          <w:color w:val="auto"/>
        </w:rPr>
        <w:t>Dividends paid by our wholly foreign-owned subsidiary in China to our intermediate holding company in Hong Kong will be subject to a withholding tax rate of 10%, unless the relevant Hong Kong entity satisfies all the requirements under the Arrangement between China and the Hong Kong Special Administrative Region on the Avoidance of Double Taxation and Prevention of Fiscal Evasion with respect to Taxes on Income and Capital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Effective from November 1, 2015, the above mentioned approval requirement has been abolished, but a Hong Kong entity is still required to file application package with the relevant tax authority, and settle the overdue taxes if the preferential 5% tax rate is denied based on the subsequent review of the application package by the relevant tax authority. Furthermore, effective from January 1, 2020, a Hong Kong entity is entitled to judge by itself that it meets the conditions for entitlement to such treaty benefits. It could obtain such entitlement by itself at the time of making tax returns, or at the time of making withholding declarations via withholding agents. At the same time, the Hong Kong entity shall collect, gather and retain relevant materials for future reference in accordance with applicable rules, and shall accept the follow-up administration of tax authorities. In addition, there is no assurance that the PRC government will not intervene or impose restrictions on our ability to transfer cash in the future. See “Item 3. Key Information—D. Risk Factors—Risks Relating to Our Corporate Structure—We may rely principally on dividends and other distributions on equity paid by our WFOE to fund any cash and financing requirements we may have, and any limitation on the ability of our WFOE to pay dividends to us could have a material adverse effect on our ability to conduct our business.”</w:t>
      </w:r>
    </w:p>
    <w:p>
      <w:pPr>
        <w:spacing w:after="0" w:line="1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540"/>
          </w:cols>
          <w:pgMar w:left="320" w:top="447" w:right="10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300" w:firstLine="393"/>
        <w:spacing w:after="0" w:line="262" w:lineRule="auto"/>
        <w:rPr>
          <w:sz w:val="20"/>
          <w:szCs w:val="20"/>
          <w:color w:val="auto"/>
        </w:rPr>
      </w:pPr>
      <w:r>
        <w:rPr>
          <w:rFonts w:ascii="Times New Roman" w:cs="Times New Roman" w:eastAsia="Times New Roman" w:hAnsi="Times New Roman"/>
          <w:sz w:val="16"/>
          <w:szCs w:val="16"/>
          <w:color w:val="auto"/>
        </w:rPr>
        <w:t>If our holding company in the Cayman Islands or any of our subsidiaries outside of the mainland of China were deemed to be a “resident enterprise” under the PRC Enterprise Income Tax Law, it would be subject to enterprise income tax on its worldwide income at a rate of 25%. See “Item 3. Key Information—D. Risk Factors—Risks Relating to Doing Business in China—If we are classified as a PRC resident enterprise for PRC income tax purposes, such classification could result in unfavorable tax consequences to us and our non-PRC shareholders or ADS holders.”</w:t>
      </w:r>
    </w:p>
    <w:p>
      <w:pPr>
        <w:spacing w:after="0" w:line="1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For purposes of illustration, the following discussion reflects the hypothetical taxes that might be required to be paid within China, assuming that:</w:t>
      </w:r>
    </w:p>
    <w:p>
      <w:pPr>
        <w:spacing w:after="0" w:line="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(i) we have taxable earnings, and (ii) we determine to pay dividends in the future:</w:t>
      </w:r>
    </w:p>
    <w:p>
      <w:pPr>
        <w:spacing w:after="0" w:line="187" w:lineRule="exact"/>
        <w:rPr>
          <w:sz w:val="20"/>
          <w:szCs w:val="20"/>
          <w:color w:val="auto"/>
        </w:rPr>
      </w:pPr>
    </w:p>
    <w:tbl>
      <w:tblPr>
        <w:tblLayout w:type="fixed"/>
        <w:tblInd w:w="228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2700" w:type="dxa"/>
            <w:vAlign w:val="bottom"/>
          </w:tcPr>
          <w:p>
            <w:pPr>
              <w:jc w:val="center"/>
              <w:ind w:left="646"/>
              <w:spacing w:after="0"/>
              <w:rPr>
                <w:sz w:val="20"/>
                <w:szCs w:val="20"/>
                <w:color w:val="auto"/>
              </w:rPr>
            </w:pPr>
            <w:r>
              <w:rPr>
                <w:rFonts w:ascii="Times New Roman" w:cs="Times New Roman" w:eastAsia="Times New Roman" w:hAnsi="Times New Roman"/>
                <w:sz w:val="13"/>
                <w:szCs w:val="13"/>
                <w:b w:val="1"/>
                <w:bCs w:val="1"/>
                <w:color w:val="auto"/>
                <w:w w:val="98"/>
              </w:rPr>
              <w:t>Taxation Scenario</w:t>
            </w:r>
            <w:r>
              <w:rPr>
                <w:rFonts w:ascii="Times New Roman" w:cs="Times New Roman" w:eastAsia="Times New Roman" w:hAnsi="Times New Roman"/>
                <w:sz w:val="9"/>
                <w:szCs w:val="9"/>
                <w:b w:val="1"/>
                <w:bCs w:val="1"/>
                <w:color w:val="auto"/>
                <w:w w:val="98"/>
              </w:rPr>
              <w:t>(1)</w:t>
            </w:r>
          </w:p>
        </w:tc>
      </w:tr>
      <w:tr>
        <w:trPr>
          <w:trHeight w:val="133"/>
        </w:trPr>
        <w:tc>
          <w:tcPr>
            <w:tcW w:w="3980" w:type="dxa"/>
            <w:vAlign w:val="bottom"/>
          </w:tcPr>
          <w:p>
            <w:pPr>
              <w:spacing w:after="0"/>
              <w:rPr>
                <w:sz w:val="11"/>
                <w:szCs w:val="11"/>
                <w:color w:val="auto"/>
              </w:rPr>
            </w:pPr>
          </w:p>
        </w:tc>
        <w:tc>
          <w:tcPr>
            <w:tcW w:w="2700" w:type="dxa"/>
            <w:vAlign w:val="bottom"/>
          </w:tcPr>
          <w:p>
            <w:pPr>
              <w:jc w:val="center"/>
              <w:ind w:left="646"/>
              <w:spacing w:after="0" w:line="133" w:lineRule="exact"/>
              <w:rPr>
                <w:sz w:val="20"/>
                <w:szCs w:val="20"/>
                <w:color w:val="auto"/>
              </w:rPr>
            </w:pPr>
            <w:r>
              <w:rPr>
                <w:rFonts w:ascii="Times New Roman" w:cs="Times New Roman" w:eastAsia="Times New Roman" w:hAnsi="Times New Roman"/>
                <w:sz w:val="13"/>
                <w:szCs w:val="13"/>
                <w:b w:val="1"/>
                <w:bCs w:val="1"/>
                <w:color w:val="auto"/>
                <w:w w:val="97"/>
              </w:rPr>
              <w:t>Statutory Tax and Standard</w:t>
            </w:r>
          </w:p>
        </w:tc>
      </w:tr>
      <w:tr>
        <w:trPr>
          <w:trHeight w:val="167"/>
        </w:trPr>
        <w:tc>
          <w:tcPr>
            <w:tcW w:w="3980" w:type="dxa"/>
            <w:vAlign w:val="bottom"/>
          </w:tcPr>
          <w:p>
            <w:pPr>
              <w:spacing w:after="0"/>
              <w:rPr>
                <w:sz w:val="14"/>
                <w:szCs w:val="14"/>
                <w:color w:val="auto"/>
              </w:rPr>
            </w:pPr>
          </w:p>
        </w:tc>
        <w:tc>
          <w:tcPr>
            <w:tcW w:w="2700" w:type="dxa"/>
            <w:vAlign w:val="bottom"/>
          </w:tcPr>
          <w:p>
            <w:pPr>
              <w:jc w:val="center"/>
              <w:ind w:left="646"/>
              <w:spacing w:after="0"/>
              <w:rPr>
                <w:sz w:val="20"/>
                <w:szCs w:val="20"/>
                <w:color w:val="auto"/>
              </w:rPr>
            </w:pPr>
            <w:r>
              <w:rPr>
                <w:rFonts w:ascii="Times New Roman" w:cs="Times New Roman" w:eastAsia="Times New Roman" w:hAnsi="Times New Roman"/>
                <w:sz w:val="13"/>
                <w:szCs w:val="13"/>
                <w:b w:val="1"/>
                <w:bCs w:val="1"/>
                <w:color w:val="auto"/>
                <w:w w:val="99"/>
              </w:rPr>
              <w:t>Rate</w:t>
            </w:r>
          </w:p>
        </w:tc>
      </w:tr>
      <w:tr>
        <w:trPr>
          <w:trHeight w:val="193"/>
        </w:trPr>
        <w:tc>
          <w:tcPr>
            <w:tcW w:w="39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5"/>
                <w:szCs w:val="15"/>
                <w:color w:val="auto"/>
              </w:rPr>
              <w:t>Hypothetical pre-tax earnings</w:t>
            </w:r>
            <w:r>
              <w:rPr>
                <w:rFonts w:ascii="Times New Roman" w:cs="Times New Roman" w:eastAsia="Times New Roman" w:hAnsi="Times New Roman"/>
                <w:sz w:val="22"/>
                <w:szCs w:val="22"/>
                <w:color w:val="auto"/>
                <w:vertAlign w:val="superscript"/>
              </w:rPr>
              <w:t>(2)</w:t>
            </w:r>
          </w:p>
        </w:tc>
        <w:tc>
          <w:tcPr>
            <w:tcW w:w="27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100%</w:t>
            </w:r>
          </w:p>
        </w:tc>
      </w:tr>
      <w:tr>
        <w:trPr>
          <w:trHeight w:val="193"/>
        </w:trPr>
        <w:tc>
          <w:tcPr>
            <w:tcW w:w="3980" w:type="dxa"/>
            <w:vAlign w:val="bottom"/>
          </w:tcPr>
          <w:p>
            <w:pPr>
              <w:spacing w:after="0" w:line="192" w:lineRule="exact"/>
              <w:rPr>
                <w:sz w:val="20"/>
                <w:szCs w:val="20"/>
                <w:color w:val="auto"/>
              </w:rPr>
            </w:pPr>
            <w:r>
              <w:rPr>
                <w:rFonts w:ascii="Times New Roman" w:cs="Times New Roman" w:eastAsia="Times New Roman" w:hAnsi="Times New Roman"/>
                <w:sz w:val="15"/>
                <w:szCs w:val="15"/>
                <w:color w:val="auto"/>
              </w:rPr>
              <w:t>Tax on earnings at statutory rate of 25%</w:t>
            </w:r>
            <w:r>
              <w:rPr>
                <w:rFonts w:ascii="Times New Roman" w:cs="Times New Roman" w:eastAsia="Times New Roman" w:hAnsi="Times New Roman"/>
                <w:sz w:val="22"/>
                <w:szCs w:val="22"/>
                <w:color w:val="auto"/>
                <w:vertAlign w:val="superscript"/>
              </w:rPr>
              <w:t>(3)</w:t>
            </w:r>
          </w:p>
        </w:tc>
        <w:tc>
          <w:tcPr>
            <w:tcW w:w="2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93"/>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earnings available for distribution</w:t>
            </w:r>
          </w:p>
        </w:tc>
        <w:tc>
          <w:tcPr>
            <w:tcW w:w="27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75%</w:t>
            </w:r>
          </w:p>
        </w:tc>
      </w:tr>
      <w:tr>
        <w:trPr>
          <w:trHeight w:val="193"/>
        </w:trPr>
        <w:tc>
          <w:tcPr>
            <w:tcW w:w="3980" w:type="dxa"/>
            <w:vAlign w:val="bottom"/>
          </w:tcPr>
          <w:p>
            <w:pPr>
              <w:ind w:left="320"/>
              <w:spacing w:after="0" w:line="192" w:lineRule="exact"/>
              <w:rPr>
                <w:sz w:val="20"/>
                <w:szCs w:val="20"/>
                <w:color w:val="auto"/>
              </w:rPr>
            </w:pPr>
            <w:r>
              <w:rPr>
                <w:rFonts w:ascii="Times New Roman" w:cs="Times New Roman" w:eastAsia="Times New Roman" w:hAnsi="Times New Roman"/>
                <w:sz w:val="15"/>
                <w:szCs w:val="15"/>
                <w:color w:val="auto"/>
              </w:rPr>
              <w:t>Withholding tax at standard rate of 10%</w:t>
            </w:r>
            <w:r>
              <w:rPr>
                <w:rFonts w:ascii="Times New Roman" w:cs="Times New Roman" w:eastAsia="Times New Roman" w:hAnsi="Times New Roman"/>
                <w:sz w:val="22"/>
                <w:szCs w:val="22"/>
                <w:color w:val="auto"/>
                <w:vertAlign w:val="superscript"/>
              </w:rPr>
              <w:t>(4)</w:t>
            </w:r>
          </w:p>
        </w:tc>
        <w:tc>
          <w:tcPr>
            <w:tcW w:w="2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193"/>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distribution to Parent/Shareholders</w:t>
            </w:r>
          </w:p>
        </w:tc>
        <w:tc>
          <w:tcPr>
            <w:tcW w:w="27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84455</wp:posOffset>
            </wp:positionV>
            <wp:extent cx="68897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975" cy="7620"/>
                    </a:xfrm>
                    <a:prstGeom prst="rect">
                      <a:avLst/>
                    </a:prstGeom>
                    <a:noFill/>
                  </pic:spPr>
                </pic:pic>
              </a:graphicData>
            </a:graphic>
          </wp:anchor>
        </w:drawing>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Notes:</w:t>
      </w:r>
    </w:p>
    <w:p>
      <w:pPr>
        <w:spacing w:after="0" w:line="117" w:lineRule="exact"/>
        <w:rPr>
          <w:sz w:val="20"/>
          <w:szCs w:val="20"/>
          <w:color w:val="auto"/>
        </w:rPr>
      </w:pPr>
    </w:p>
    <w:p>
      <w:pPr>
        <w:ind w:left="1100" w:right="360" w:hanging="393"/>
        <w:spacing w:after="0" w:line="262" w:lineRule="auto"/>
        <w:tabs>
          <w:tab w:leader="none" w:pos="11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example, the tax calculation has been simplified. The hypothetical book pre-tax earnings amount, not considering timing differences, is assumed to equal Chinese taxable income.</w:t>
      </w:r>
    </w:p>
    <w:p>
      <w:pPr>
        <w:jc w:val="both"/>
        <w:ind w:left="1100" w:right="180" w:hanging="393"/>
        <w:spacing w:after="0" w:line="251" w:lineRule="auto"/>
        <w:tabs>
          <w:tab w:leader="none" w:pos="11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the contractual arrangements among our WFOE, the VIE and its Shareholders, our WFOE may charge the VIE for services provided to the VIE. These fees shall be recognized as expenses of the VIE, with a corresponding amount as service income by our WFOE and eliminate in consolidation. For income tax purposes, our WFOE and VIE file income tax returns on a separate company basis. The fees paid are recognized as a tax deduction by the VIE and as income by our WFOE and are tax neutral.</w:t>
      </w:r>
    </w:p>
    <w:p>
      <w:pPr>
        <w:spacing w:after="0" w:line="1" w:lineRule="exact"/>
        <w:rPr>
          <w:rFonts w:ascii="Times New Roman" w:cs="Times New Roman" w:eastAsia="Times New Roman" w:hAnsi="Times New Roman"/>
          <w:sz w:val="16"/>
          <w:szCs w:val="16"/>
          <w:color w:val="auto"/>
        </w:rPr>
      </w:pPr>
    </w:p>
    <w:p>
      <w:pPr>
        <w:ind w:left="1100" w:right="180" w:hanging="393"/>
        <w:spacing w:after="0" w:line="251" w:lineRule="auto"/>
        <w:tabs>
          <w:tab w:leader="none" w:pos="11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hypothetical example, the table above reflects a maximum tax scenario under which the full statutory rate of 25% would be effective.</w:t>
      </w:r>
    </w:p>
    <w:p>
      <w:pPr>
        <w:ind w:left="1100" w:hanging="393"/>
        <w:spacing w:after="0" w:line="254" w:lineRule="auto"/>
        <w:tabs>
          <w:tab w:leader="none" w:pos="11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EIT Law of the PRC imposes a withholding income tax of 10% on dividends distributed by a Foreign Invested Enterprises (“FIE”) to its immediate holding company outside of China. A lower withholding income tax rate of 5% is applied if the FIE’s immediate holding company is registered in Hong Kong or other jurisdictions that have a tax treaty arrangement with China, subject to a qualification review at the time of the distribution. For purposes of this hypothetical example, the table above assumes a maximum tax scenario under which the full withholding tax rate of 10% would be applied.</w:t>
      </w:r>
    </w:p>
    <w:p>
      <w:pPr>
        <w:spacing w:after="0" w:line="167" w:lineRule="exact"/>
        <w:rPr>
          <w:sz w:val="20"/>
          <w:szCs w:val="20"/>
          <w:color w:val="auto"/>
        </w:rPr>
      </w:pPr>
    </w:p>
    <w:p>
      <w:pPr>
        <w:ind w:left="700" w:right="60" w:firstLine="393"/>
        <w:spacing w:after="0" w:line="259" w:lineRule="auto"/>
        <w:rPr>
          <w:sz w:val="20"/>
          <w:szCs w:val="20"/>
          <w:color w:val="auto"/>
        </w:rPr>
      </w:pPr>
      <w:r>
        <w:rPr>
          <w:rFonts w:ascii="Times New Roman" w:cs="Times New Roman" w:eastAsia="Times New Roman" w:hAnsi="Times New Roman"/>
          <w:sz w:val="16"/>
          <w:szCs w:val="16"/>
          <w:color w:val="auto"/>
        </w:rPr>
        <w:t>The table above has been prepared under the assumption that all profits of the VIE will be distributed as fees to our WFOE under tax neutral contractual arrangements. If in the future, the accumulated earnings of the VIE exceed the fees paid to our PRC subsidiaries (or if the current and contemplated fee structure between the intercompany entities is determined to be non-substantive and disallowed by Chinese tax authorities), the VIE could, as a matter of last resort, make a non-deductible transfer to our WFOE for the amounts of the stranded cash in the VIE. This would result in such transfer being non-deductible expenses for the VIE but still taxable income for our WFOE.</w:t>
      </w:r>
    </w:p>
    <w:p>
      <w:pPr>
        <w:spacing w:after="0" w:line="164" w:lineRule="exact"/>
        <w:rPr>
          <w:sz w:val="20"/>
          <w:szCs w:val="20"/>
          <w:color w:val="auto"/>
        </w:rPr>
      </w:pPr>
    </w:p>
    <w:p>
      <w:pPr>
        <w:ind w:left="700" w:right="20" w:firstLine="393"/>
        <w:spacing w:after="0" w:line="258" w:lineRule="auto"/>
        <w:rPr>
          <w:sz w:val="20"/>
          <w:szCs w:val="20"/>
          <w:color w:val="auto"/>
        </w:rPr>
      </w:pPr>
      <w:r>
        <w:rPr>
          <w:rFonts w:ascii="Times New Roman" w:cs="Times New Roman" w:eastAsia="Times New Roman" w:hAnsi="Times New Roman"/>
          <w:sz w:val="16"/>
          <w:szCs w:val="16"/>
          <w:color w:val="auto"/>
        </w:rPr>
        <w:t>Under PRC laws and regulations, we are subject to restrictions on foreign exchange and cross-border cash transfers, including to U.S. investors. Our ability to distribute earnings to the holding company and U.S. investors is also limited. We are a Cayman Islands holding company and we may rely on dividends and other distributions on equity paid by our PRC subsidiary, which in turn relies on consulting and other fees paid to us by the VIE, for our cash and financing requirements, including the funds necessary to pay dividends and other cash distributions to our shareholders and service any debt we may incur. When any of our PRC subsidiary incurs debt on its own behalf, the instruments governing the debt may restrict its ability to pay dividends or make other distributions to us.</w:t>
      </w:r>
    </w:p>
    <w:p>
      <w:pPr>
        <w:spacing w:after="0" w:line="163" w:lineRule="exact"/>
        <w:rPr>
          <w:sz w:val="20"/>
          <w:szCs w:val="20"/>
          <w:color w:val="auto"/>
        </w:rPr>
      </w:pPr>
    </w:p>
    <w:p>
      <w:pPr>
        <w:ind w:left="700" w:right="80" w:firstLine="393"/>
        <w:spacing w:after="0" w:line="259" w:lineRule="auto"/>
        <w:rPr>
          <w:sz w:val="20"/>
          <w:szCs w:val="20"/>
          <w:color w:val="auto"/>
        </w:rPr>
      </w:pPr>
      <w:r>
        <w:rPr>
          <w:rFonts w:ascii="Times New Roman" w:cs="Times New Roman" w:eastAsia="Times New Roman" w:hAnsi="Times New Roman"/>
          <w:sz w:val="16"/>
          <w:szCs w:val="16"/>
          <w:color w:val="auto"/>
        </w:rPr>
        <w:t>Our WFOE, being a foreign-invested enterprise established in China, is required to make appropriations to certain statutory reserves, namely, a general reserve fund, an enterprise expansion fund, a staff welfare fund and a bonus fund, all of which are appropriated from net profit as reported in its PRC statutory accounts. Our WFOE is required to allocate at least 10% of its after-tax profits after making up the previous year’s accumulated losses each year, if any, to a general reserve fund until such fund has reached 50% of its respective registered capital. Appropriations to the enterprise expansion fund and staff welfare and bonus funds are at the discretion of the board of directors of the PRC subsidiary.</w:t>
      </w:r>
    </w:p>
    <w:p>
      <w:pPr>
        <w:spacing w:after="0" w:line="1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520"/>
          </w:cols>
          <w:pgMar w:left="320" w:top="447" w:right="10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240" w:firstLine="393"/>
        <w:spacing w:after="0" w:line="267" w:lineRule="auto"/>
        <w:rPr>
          <w:sz w:val="20"/>
          <w:szCs w:val="20"/>
          <w:color w:val="auto"/>
        </w:rPr>
      </w:pPr>
      <w:r>
        <w:rPr>
          <w:rFonts w:ascii="Times New Roman" w:cs="Times New Roman" w:eastAsia="Times New Roman" w:hAnsi="Times New Roman"/>
          <w:sz w:val="16"/>
          <w:szCs w:val="16"/>
          <w:color w:val="auto"/>
        </w:rPr>
        <w:t>Under PRC laws and regulations, our WFOE, the VIE and its subsidiaries are subject to certain restrictions with respect to paying dividends or otherwise transferring any of their net assets to us. The amounts restricted include the paid-up capital and the statutory reserve funds of our PRC subsidiaries and the net assets of the consolidated variable interest entity in which we have no legal ownership.</w:t>
      </w:r>
    </w:p>
    <w:p>
      <w:pPr>
        <w:spacing w:after="0" w:line="157"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In addition, our WFOE, the VIE and its subsidiaries generate their revenue primarily in Renminbi, which is not freely convertible into other currencies. As a result, any restriction on currency exchange may limit the ability of our PRC subsidiaries to pay dividends to us. For more details, see “Item 3. Key Information—D. Risk Factors—Risks Relating to Our Corporate Structure—We may rely principally on dividends and other distributions on equity paid by our WFOE to fund any cash and financing requirements we may have, and any limitation on the ability of our WFOE to pay dividends to us could have a material adverse effect on our ability to conduct our business,” and “—Government control of currency conversion and future fluctuation of Renminbi exchange rates could have a material adverse effect on our results of operations and financial condition, and may reduce the value of, and dividends payable on, our Shares in foreign currency terms.”</w:t>
      </w:r>
    </w:p>
    <w:p>
      <w:pPr>
        <w:spacing w:after="0" w:line="2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Financial Information Related to the Consolidated Variable Interest Entity</w:t>
      </w:r>
    </w:p>
    <w:p>
      <w:pPr>
        <w:spacing w:after="0" w:line="107" w:lineRule="exact"/>
        <w:rPr>
          <w:sz w:val="20"/>
          <w:szCs w:val="20"/>
          <w:color w:val="auto"/>
        </w:rPr>
      </w:pPr>
    </w:p>
    <w:p>
      <w:pPr>
        <w:ind w:left="700" w:right="360" w:firstLine="393"/>
        <w:spacing w:after="0" w:line="284" w:lineRule="auto"/>
        <w:rPr>
          <w:sz w:val="20"/>
          <w:szCs w:val="20"/>
          <w:color w:val="auto"/>
        </w:rPr>
      </w:pPr>
      <w:r>
        <w:rPr>
          <w:rFonts w:ascii="Times New Roman" w:cs="Times New Roman" w:eastAsia="Times New Roman" w:hAnsi="Times New Roman"/>
          <w:sz w:val="16"/>
          <w:szCs w:val="16"/>
          <w:color w:val="auto"/>
        </w:rPr>
        <w:t>The following tables present the condensed consolidating schedule of financial position for the consolidated variable interest entity and other entities as of the dates presented.</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520"/>
          </w:cols>
          <w:pgMar w:left="320" w:top="447" w:right="10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Selected Condensed Consolidated Statements of Income Information</w:t>
      </w:r>
    </w:p>
    <w:p>
      <w:pPr>
        <w:spacing w:after="0" w:line="233" w:lineRule="exact"/>
        <w:rPr>
          <w:sz w:val="20"/>
          <w:szCs w:val="20"/>
          <w:color w:val="auto"/>
        </w:rPr>
      </w:pPr>
    </w:p>
    <w:tbl>
      <w:tblPr>
        <w:tblLayout w:type="fixed"/>
        <w:tblInd w:w="700" w:type="dxa"/>
        <w:tblCellMar>
          <w:top w:w="0" w:type="dxa"/>
          <w:left w:w="0" w:type="dxa"/>
          <w:bottom w:w="0" w:type="dxa"/>
          <w:right w:w="0" w:type="dxa"/>
        </w:tblCellMar>
      </w:tblPr>
      <w:tr>
        <w:trPr>
          <w:trHeight w:val="122"/>
        </w:trPr>
        <w:tc>
          <w:tcPr>
            <w:tcW w:w="8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0"/>
                <w:szCs w:val="10"/>
                <w:b w:val="1"/>
                <w:bCs w:val="1"/>
                <w:color w:val="auto"/>
              </w:rPr>
              <w:t>For the Year Ended December 31, 2020</w:t>
            </w: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For the Year Ended December 31, 2021</w:t>
            </w: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6"/>
              </w:rPr>
              <w:t>For the Year Ended December 31, 2022</w:t>
            </w:r>
          </w:p>
        </w:tc>
        <w:tc>
          <w:tcPr>
            <w:tcW w:w="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80"/>
              <w:spacing w:after="0" w:line="87" w:lineRule="exact"/>
              <w:rPr>
                <w:sz w:val="20"/>
                <w:szCs w:val="20"/>
                <w:color w:val="auto"/>
              </w:rPr>
            </w:pPr>
            <w:r>
              <w:rPr>
                <w:rFonts w:ascii="Times New Roman" w:cs="Times New Roman" w:eastAsia="Times New Roman" w:hAnsi="Times New Roman"/>
                <w:sz w:val="10"/>
                <w:szCs w:val="10"/>
                <w:b w:val="1"/>
                <w:bCs w:val="1"/>
                <w:color w:val="auto"/>
                <w:w w:val="95"/>
              </w:rPr>
              <w:t>Subsidiaries</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80"/>
              <w:spacing w:after="0" w:line="87" w:lineRule="exact"/>
              <w:rPr>
                <w:sz w:val="20"/>
                <w:szCs w:val="20"/>
                <w:color w:val="auto"/>
              </w:rPr>
            </w:pPr>
            <w:r>
              <w:rPr>
                <w:rFonts w:ascii="Times New Roman" w:cs="Times New Roman" w:eastAsia="Times New Roman" w:hAnsi="Times New Roman"/>
                <w:sz w:val="10"/>
                <w:szCs w:val="10"/>
                <w:b w:val="1"/>
                <w:bCs w:val="1"/>
                <w:color w:val="auto"/>
                <w:w w:val="95"/>
              </w:rPr>
              <w:t>Subsidiaries</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2"/>
          </w:tcPr>
          <w:p>
            <w:pPr>
              <w:jc w:val="right"/>
              <w:ind w:right="40"/>
              <w:spacing w:after="0" w:line="87" w:lineRule="exact"/>
              <w:rPr>
                <w:sz w:val="20"/>
                <w:szCs w:val="20"/>
                <w:color w:val="auto"/>
              </w:rPr>
            </w:pPr>
            <w:r>
              <w:rPr>
                <w:rFonts w:ascii="Times New Roman" w:cs="Times New Roman" w:eastAsia="Times New Roman" w:hAnsi="Times New Roman"/>
                <w:sz w:val="10"/>
                <w:szCs w:val="10"/>
                <w:b w:val="1"/>
                <w:bCs w:val="1"/>
                <w:color w:val="auto"/>
                <w:w w:val="95"/>
              </w:rPr>
              <w:t>Subsidiaries</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48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0"/>
                <w:szCs w:val="10"/>
                <w:b w:val="1"/>
                <w:bCs w:val="1"/>
                <w:color w:val="auto"/>
              </w:rPr>
              <w:t>Parent</w:t>
            </w:r>
          </w:p>
        </w:tc>
        <w:tc>
          <w:tcPr>
            <w:tcW w:w="6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of parent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3"/>
              </w:rPr>
              <w:t>VIE and its</w:t>
            </w:r>
          </w:p>
        </w:tc>
        <w:tc>
          <w:tcPr>
            <w:tcW w:w="600" w:type="dxa"/>
            <w:vAlign w:val="bottom"/>
            <w:gridSpan w:val="2"/>
          </w:tcPr>
          <w:p>
            <w:pPr>
              <w:jc w:val="center"/>
              <w:ind w:right="120"/>
              <w:spacing w:after="0" w:line="109" w:lineRule="exact"/>
              <w:rPr>
                <w:sz w:val="20"/>
                <w:szCs w:val="20"/>
                <w:color w:val="auto"/>
              </w:rPr>
            </w:pPr>
            <w:r>
              <w:rPr>
                <w:rFonts w:ascii="Times New Roman" w:cs="Times New Roman" w:eastAsia="Times New Roman" w:hAnsi="Times New Roman"/>
                <w:sz w:val="10"/>
                <w:szCs w:val="10"/>
                <w:b w:val="1"/>
                <w:bCs w:val="1"/>
                <w:color w:val="auto"/>
                <w:w w:val="94"/>
              </w:rPr>
              <w:t>Elimination</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Parent</w:t>
            </w: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of parent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VIE and its</w:t>
            </w:r>
          </w:p>
        </w:tc>
        <w:tc>
          <w:tcPr>
            <w:tcW w:w="600" w:type="dxa"/>
            <w:vAlign w:val="bottom"/>
            <w:gridSpan w:val="2"/>
          </w:tcPr>
          <w:p>
            <w:pPr>
              <w:jc w:val="center"/>
              <w:ind w:right="120"/>
              <w:spacing w:after="0" w:line="109" w:lineRule="exact"/>
              <w:rPr>
                <w:sz w:val="20"/>
                <w:szCs w:val="20"/>
                <w:color w:val="auto"/>
              </w:rPr>
            </w:pPr>
            <w:r>
              <w:rPr>
                <w:rFonts w:ascii="Times New Roman" w:cs="Times New Roman" w:eastAsia="Times New Roman" w:hAnsi="Times New Roman"/>
                <w:sz w:val="10"/>
                <w:szCs w:val="10"/>
                <w:b w:val="1"/>
                <w:bCs w:val="1"/>
                <w:color w:val="auto"/>
                <w:w w:val="94"/>
              </w:rPr>
              <w:t>Elimination</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Parent</w:t>
            </w:r>
          </w:p>
        </w:tc>
        <w:tc>
          <w:tcPr>
            <w:tcW w:w="56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0"/>
                <w:szCs w:val="10"/>
                <w:b w:val="1"/>
                <w:bCs w:val="1"/>
                <w:color w:val="auto"/>
              </w:rPr>
              <w:t>of parent</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VIE and its</w:t>
            </w:r>
          </w:p>
        </w:tc>
        <w:tc>
          <w:tcPr>
            <w:tcW w:w="58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0"/>
                <w:szCs w:val="10"/>
                <w:b w:val="1"/>
                <w:bCs w:val="1"/>
                <w:color w:val="auto"/>
                <w:w w:val="94"/>
              </w:rPr>
              <w:t>Elimination</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48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0"/>
                <w:szCs w:val="10"/>
                <w:b w:val="1"/>
                <w:bCs w:val="1"/>
                <w:color w:val="auto"/>
              </w:rPr>
              <w:t>company</w:t>
            </w: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company</w:t>
            </w:r>
          </w:p>
        </w:tc>
        <w:tc>
          <w:tcPr>
            <w:tcW w:w="5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WFOE</w:t>
            </w:r>
          </w:p>
        </w:tc>
        <w:tc>
          <w:tcPr>
            <w:tcW w:w="5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0"/>
              </w:rPr>
              <w:t>subsidiaries</w:t>
            </w:r>
          </w:p>
        </w:tc>
        <w:tc>
          <w:tcPr>
            <w:tcW w:w="600" w:type="dxa"/>
            <w:vAlign w:val="bottom"/>
            <w:gridSpan w:val="2"/>
          </w:tcPr>
          <w:p>
            <w:pPr>
              <w:jc w:val="center"/>
              <w:ind w:right="120"/>
              <w:spacing w:after="0" w:line="109" w:lineRule="exact"/>
              <w:rPr>
                <w:sz w:val="20"/>
                <w:szCs w:val="20"/>
                <w:color w:val="auto"/>
              </w:rPr>
            </w:pPr>
            <w:r>
              <w:rPr>
                <w:rFonts w:ascii="Times New Roman" w:cs="Times New Roman" w:eastAsia="Times New Roman" w:hAnsi="Times New Roman"/>
                <w:sz w:val="10"/>
                <w:szCs w:val="10"/>
                <w:b w:val="1"/>
                <w:bCs w:val="1"/>
                <w:color w:val="auto"/>
                <w:w w:val="93"/>
              </w:rPr>
              <w:t>(Note 1)</w:t>
            </w:r>
          </w:p>
        </w:tc>
        <w:tc>
          <w:tcPr>
            <w:tcW w:w="64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2"/>
              </w:rPr>
              <w:t>Consolidated</w:t>
            </w:r>
          </w:p>
        </w:tc>
        <w:tc>
          <w:tcPr>
            <w:tcW w:w="4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2"/>
              </w:rPr>
              <w:t>company</w:t>
            </w: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company</w:t>
            </w:r>
          </w:p>
        </w:tc>
        <w:tc>
          <w:tcPr>
            <w:tcW w:w="5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WFOE</w:t>
            </w:r>
          </w:p>
        </w:tc>
        <w:tc>
          <w:tcPr>
            <w:tcW w:w="58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subsidiaries</w:t>
            </w:r>
          </w:p>
        </w:tc>
        <w:tc>
          <w:tcPr>
            <w:tcW w:w="600" w:type="dxa"/>
            <w:vAlign w:val="bottom"/>
            <w:gridSpan w:val="2"/>
          </w:tcPr>
          <w:p>
            <w:pPr>
              <w:jc w:val="center"/>
              <w:ind w:right="120"/>
              <w:spacing w:after="0" w:line="109" w:lineRule="exact"/>
              <w:rPr>
                <w:sz w:val="20"/>
                <w:szCs w:val="20"/>
                <w:color w:val="auto"/>
              </w:rPr>
            </w:pPr>
            <w:r>
              <w:rPr>
                <w:rFonts w:ascii="Times New Roman" w:cs="Times New Roman" w:eastAsia="Times New Roman" w:hAnsi="Times New Roman"/>
                <w:sz w:val="10"/>
                <w:szCs w:val="10"/>
                <w:b w:val="1"/>
                <w:bCs w:val="1"/>
                <w:color w:val="auto"/>
                <w:w w:val="93"/>
              </w:rPr>
              <w:t>(Note 1)</w:t>
            </w:r>
          </w:p>
        </w:tc>
        <w:tc>
          <w:tcPr>
            <w:tcW w:w="64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2"/>
              </w:rPr>
              <w:t>Consolidated</w:t>
            </w:r>
          </w:p>
        </w:tc>
        <w:tc>
          <w:tcPr>
            <w:tcW w:w="4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2"/>
              </w:rPr>
              <w:t>company</w:t>
            </w:r>
          </w:p>
        </w:tc>
        <w:tc>
          <w:tcPr>
            <w:tcW w:w="56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0"/>
                <w:szCs w:val="10"/>
                <w:b w:val="1"/>
                <w:bCs w:val="1"/>
                <w:color w:val="auto"/>
              </w:rPr>
              <w:t>company</w:t>
            </w:r>
          </w:p>
        </w:tc>
        <w:tc>
          <w:tcPr>
            <w:tcW w:w="40" w:type="dxa"/>
            <w:vAlign w:val="bottom"/>
          </w:tcPr>
          <w:p>
            <w:pPr>
              <w:spacing w:after="0"/>
              <w:rPr>
                <w:sz w:val="9"/>
                <w:szCs w:val="9"/>
                <w:color w:val="auto"/>
              </w:rPr>
            </w:pPr>
          </w:p>
        </w:tc>
        <w:tc>
          <w:tcPr>
            <w:tcW w:w="5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WFOE</w:t>
            </w:r>
          </w:p>
        </w:tc>
        <w:tc>
          <w:tcPr>
            <w:tcW w:w="56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subsidiaries</w:t>
            </w:r>
          </w:p>
        </w:tc>
        <w:tc>
          <w:tcPr>
            <w:tcW w:w="58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(Note 1)</w:t>
            </w:r>
          </w:p>
        </w:tc>
        <w:tc>
          <w:tcPr>
            <w:tcW w:w="2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w w:val="92"/>
              </w:rPr>
              <w:t>Cons</w:t>
            </w:r>
          </w:p>
        </w:tc>
        <w:tc>
          <w:tcPr>
            <w:tcW w:w="0" w:type="dxa"/>
            <w:vAlign w:val="bottom"/>
          </w:tcPr>
          <w:p>
            <w:pPr>
              <w:spacing w:after="0"/>
              <w:rPr>
                <w:sz w:val="1"/>
                <w:szCs w:val="1"/>
                <w:color w:val="auto"/>
              </w:rPr>
            </w:pPr>
          </w:p>
        </w:tc>
      </w:tr>
      <w:tr>
        <w:trPr>
          <w:trHeight w:val="122"/>
        </w:trPr>
        <w:tc>
          <w:tcPr>
            <w:tcW w:w="880" w:type="dxa"/>
            <w:vAlign w:val="bottom"/>
          </w:tcPr>
          <w:p>
            <w:pPr>
              <w:spacing w:after="0"/>
              <w:rPr>
                <w:sz w:val="10"/>
                <w:szCs w:val="1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4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RM</w:t>
            </w:r>
          </w:p>
        </w:tc>
        <w:tc>
          <w:tcPr>
            <w:tcW w:w="0" w:type="dxa"/>
            <w:vAlign w:val="bottom"/>
          </w:tcPr>
          <w:p>
            <w:pPr>
              <w:spacing w:after="0"/>
              <w:rPr>
                <w:sz w:val="1"/>
                <w:szCs w:val="1"/>
                <w:color w:val="auto"/>
              </w:rPr>
            </w:pPr>
          </w:p>
        </w:tc>
      </w:tr>
      <w:tr>
        <w:trPr>
          <w:trHeight w:val="88"/>
        </w:trPr>
        <w:tc>
          <w:tcPr>
            <w:tcW w:w="880" w:type="dxa"/>
            <w:vAlign w:val="bottom"/>
            <w:tcBorders>
              <w:top w:val="single" w:sz="8" w:color="CCEEFF"/>
            </w:tcBorders>
            <w:shd w:val="clear" w:color="auto" w:fill="CCEEFF"/>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Operating revenue</w:t>
            </w:r>
          </w:p>
        </w:tc>
        <w:tc>
          <w:tcPr>
            <w:tcW w:w="4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88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Brokerage</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8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commission</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income</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1,215,434</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1,215,434</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865</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2,231,388</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2,232,253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1,562</w:t>
            </w:r>
          </w:p>
        </w:tc>
        <w:tc>
          <w:tcPr>
            <w:tcW w:w="4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1,107,090</w:t>
            </w:r>
          </w:p>
        </w:tc>
        <w:tc>
          <w:tcPr>
            <w:tcW w:w="8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08"/>
        </w:trPr>
        <w:tc>
          <w:tcPr>
            <w:tcW w:w="88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0"/>
                <w:szCs w:val="10"/>
                <w:color w:val="auto"/>
              </w:rPr>
              <w:t>Other income</w:t>
            </w:r>
          </w:p>
        </w:tc>
        <w:tc>
          <w:tcPr>
            <w:tcW w:w="480" w:type="dxa"/>
            <w:vAlign w:val="bottom"/>
            <w:gridSpan w:val="2"/>
            <w:shd w:val="clear" w:color="auto" w:fill="CCEEFF"/>
          </w:tcPr>
          <w:p>
            <w:pPr>
              <w:ind w:left="260"/>
              <w:spacing w:after="0" w:line="109" w:lineRule="exact"/>
              <w:rPr>
                <w:sz w:val="20"/>
                <w:szCs w:val="20"/>
                <w:color w:val="auto"/>
              </w:rPr>
            </w:pPr>
            <w:r>
              <w:rPr>
                <w:rFonts w:ascii="Times New Roman" w:cs="Times New Roman" w:eastAsia="Times New Roman" w:hAnsi="Times New Roman"/>
                <w:sz w:val="10"/>
                <w:szCs w:val="10"/>
                <w:color w:val="auto"/>
              </w:rPr>
              <w:t>228</w:t>
            </w:r>
          </w:p>
        </w:tc>
        <w:tc>
          <w:tcPr>
            <w:tcW w:w="600" w:type="dxa"/>
            <w:vAlign w:val="bottom"/>
            <w:gridSpan w:val="2"/>
            <w:shd w:val="clear" w:color="auto" w:fill="CCEEFF"/>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00"/>
              <w:spacing w:after="0" w:line="109" w:lineRule="exact"/>
              <w:rPr>
                <w:sz w:val="20"/>
                <w:szCs w:val="20"/>
                <w:color w:val="auto"/>
              </w:rPr>
            </w:pPr>
            <w:r>
              <w:rPr>
                <w:rFonts w:ascii="Times New Roman" w:cs="Times New Roman" w:eastAsia="Times New Roman" w:hAnsi="Times New Roman"/>
                <w:sz w:val="10"/>
                <w:szCs w:val="10"/>
                <w:color w:val="auto"/>
              </w:rPr>
              <w:t>4,560</w:t>
            </w:r>
          </w:p>
        </w:tc>
        <w:tc>
          <w:tcPr>
            <w:tcW w:w="60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00"/>
              <w:spacing w:after="0" w:line="109" w:lineRule="exact"/>
              <w:rPr>
                <w:sz w:val="20"/>
                <w:szCs w:val="20"/>
                <w:color w:val="auto"/>
              </w:rPr>
            </w:pPr>
            <w:r>
              <w:rPr>
                <w:rFonts w:ascii="Times New Roman" w:cs="Times New Roman" w:eastAsia="Times New Roman" w:hAnsi="Times New Roman"/>
                <w:sz w:val="10"/>
                <w:szCs w:val="10"/>
                <w:color w:val="auto"/>
              </w:rPr>
              <w:t>4,788</w:t>
            </w:r>
          </w:p>
        </w:tc>
        <w:tc>
          <w:tcPr>
            <w:tcW w:w="480" w:type="dxa"/>
            <w:vAlign w:val="bottom"/>
            <w:gridSpan w:val="2"/>
            <w:shd w:val="clear" w:color="auto" w:fill="CCEEFF"/>
          </w:tcPr>
          <w:p>
            <w:pPr>
              <w:jc w:val="right"/>
              <w:ind w:right="80"/>
              <w:spacing w:after="0" w:line="109" w:lineRule="exact"/>
              <w:rPr>
                <w:sz w:val="20"/>
                <w:szCs w:val="20"/>
                <w:color w:val="auto"/>
              </w:rPr>
            </w:pPr>
            <w:r>
              <w:rPr>
                <w:rFonts w:ascii="Times New Roman" w:cs="Times New Roman" w:eastAsia="Times New Roman" w:hAnsi="Times New Roman"/>
                <w:sz w:val="10"/>
                <w:szCs w:val="10"/>
                <w:color w:val="auto"/>
              </w:rPr>
              <w:t>1,269</w:t>
            </w:r>
          </w:p>
        </w:tc>
        <w:tc>
          <w:tcPr>
            <w:tcW w:w="600" w:type="dxa"/>
            <w:vAlign w:val="bottom"/>
            <w:gridSpan w:val="2"/>
            <w:shd w:val="clear" w:color="auto" w:fill="CCEEFF"/>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9" w:lineRule="exact"/>
              <w:rPr>
                <w:sz w:val="20"/>
                <w:szCs w:val="20"/>
                <w:color w:val="auto"/>
              </w:rPr>
            </w:pPr>
            <w:r>
              <w:rPr>
                <w:rFonts w:ascii="Times New Roman" w:cs="Times New Roman" w:eastAsia="Times New Roman" w:hAnsi="Times New Roman"/>
                <w:sz w:val="10"/>
                <w:szCs w:val="10"/>
                <w:color w:val="auto"/>
              </w:rPr>
              <w:t>11,494</w:t>
            </w:r>
          </w:p>
        </w:tc>
        <w:tc>
          <w:tcPr>
            <w:tcW w:w="60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00"/>
              <w:spacing w:after="0" w:line="109" w:lineRule="exact"/>
              <w:rPr>
                <w:sz w:val="20"/>
                <w:szCs w:val="20"/>
                <w:color w:val="auto"/>
              </w:rPr>
            </w:pPr>
            <w:r>
              <w:rPr>
                <w:rFonts w:ascii="Times New Roman" w:cs="Times New Roman" w:eastAsia="Times New Roman" w:hAnsi="Times New Roman"/>
                <w:sz w:val="10"/>
                <w:szCs w:val="10"/>
                <w:color w:val="auto"/>
              </w:rPr>
              <w:t>12,763</w:t>
            </w:r>
          </w:p>
        </w:tc>
        <w:tc>
          <w:tcPr>
            <w:tcW w:w="4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1,553</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9"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49,223</w:t>
            </w:r>
          </w:p>
        </w:tc>
        <w:tc>
          <w:tcPr>
            <w:tcW w:w="8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09" w:lineRule="exact"/>
              <w:rPr>
                <w:sz w:val="20"/>
                <w:szCs w:val="20"/>
                <w:color w:val="auto"/>
              </w:rPr>
            </w:pPr>
            <w:r>
              <w:rPr>
                <w:rFonts w:ascii="Times New Roman" w:cs="Times New Roman" w:eastAsia="Times New Roman" w:hAnsi="Times New Roman"/>
                <w:sz w:val="10"/>
                <w:szCs w:val="10"/>
                <w:color w:val="auto"/>
              </w:rPr>
              <w:t>(1,520)</w:t>
            </w:r>
          </w:p>
        </w:tc>
        <w:tc>
          <w:tcPr>
            <w:tcW w:w="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88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Total operating</w:t>
            </w: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88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revenue</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228</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1,219,994</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1,220,222</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1,269</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865</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2,242,882</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2,245,016</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1,553</w:t>
            </w:r>
          </w:p>
        </w:tc>
        <w:tc>
          <w:tcPr>
            <w:tcW w:w="80" w:type="dxa"/>
            <w:vAlign w:val="bottom"/>
          </w:tcPr>
          <w:p>
            <w:pPr>
              <w:spacing w:after="0"/>
              <w:rPr>
                <w:sz w:val="10"/>
                <w:szCs w:val="1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1,562</w:t>
            </w:r>
          </w:p>
        </w:tc>
        <w:tc>
          <w:tcPr>
            <w:tcW w:w="4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1,156,313</w:t>
            </w:r>
          </w:p>
        </w:tc>
        <w:tc>
          <w:tcPr>
            <w:tcW w:w="80" w:type="dxa"/>
            <w:vAlign w:val="bottom"/>
          </w:tcPr>
          <w:p>
            <w:pPr>
              <w:spacing w:after="0"/>
              <w:rPr>
                <w:sz w:val="10"/>
                <w:szCs w:val="1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(1,520)</w:t>
            </w: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880" w:type="dxa"/>
            <w:vAlign w:val="bottom"/>
            <w:shd w:val="clear" w:color="auto" w:fill="CCEEFF"/>
          </w:tcPr>
          <w:p>
            <w:pPr>
              <w:spacing w:after="0" w:line="83" w:lineRule="exact"/>
              <w:rPr>
                <w:sz w:val="20"/>
                <w:szCs w:val="20"/>
                <w:color w:val="auto"/>
              </w:rPr>
            </w:pPr>
            <w:r>
              <w:rPr>
                <w:rFonts w:ascii="Times New Roman" w:cs="Times New Roman" w:eastAsia="Times New Roman" w:hAnsi="Times New Roman"/>
                <w:sz w:val="8"/>
                <w:szCs w:val="8"/>
                <w:b w:val="1"/>
                <w:bCs w:val="1"/>
                <w:color w:val="auto"/>
              </w:rPr>
              <w:t>Operating costs</w:t>
            </w: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and expenses</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line="109" w:lineRule="exact"/>
              <w:rPr>
                <w:sz w:val="20"/>
                <w:szCs w:val="20"/>
                <w:color w:val="auto"/>
              </w:rPr>
            </w:pPr>
            <w:r>
              <w:rPr>
                <w:rFonts w:ascii="Times New Roman" w:cs="Times New Roman" w:eastAsia="Times New Roman" w:hAnsi="Times New Roman"/>
                <w:sz w:val="10"/>
                <w:szCs w:val="10"/>
                <w:color w:val="auto"/>
              </w:rPr>
              <w:t>Cost of revenue</w:t>
            </w:r>
          </w:p>
        </w:tc>
        <w:tc>
          <w:tcPr>
            <w:tcW w:w="480" w:type="dxa"/>
            <w:vAlign w:val="bottom"/>
            <w:gridSpan w:val="2"/>
          </w:tcPr>
          <w:p>
            <w:pPr>
              <w:ind w:left="2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(813,507)</w:t>
            </w: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(813,507)</w:t>
            </w:r>
          </w:p>
        </w:tc>
        <w:tc>
          <w:tcPr>
            <w:tcW w:w="48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(317)</w:t>
            </w:r>
          </w:p>
        </w:tc>
        <w:tc>
          <w:tcPr>
            <w:tcW w:w="5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(1,687,770)</w:t>
            </w: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(1,688,087)</w:t>
            </w:r>
          </w:p>
        </w:tc>
        <w:tc>
          <w:tcPr>
            <w:tcW w:w="48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0"/>
                <w:szCs w:val="10"/>
                <w:color w:val="auto"/>
              </w:rPr>
              <w:t>(942)</w:t>
            </w:r>
          </w:p>
        </w:tc>
        <w:tc>
          <w:tcPr>
            <w:tcW w:w="40" w:type="dxa"/>
            <w:vAlign w:val="bottom"/>
          </w:tcPr>
          <w:p>
            <w:pPr>
              <w:spacing w:after="0"/>
              <w:rPr>
                <w:sz w:val="9"/>
                <w:szCs w:val="9"/>
                <w:color w:val="auto"/>
              </w:rPr>
            </w:pPr>
          </w:p>
        </w:tc>
        <w:tc>
          <w:tcPr>
            <w:tcW w:w="5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40"/>
              <w:spacing w:after="0" w:line="109" w:lineRule="exact"/>
              <w:rPr>
                <w:sz w:val="20"/>
                <w:szCs w:val="20"/>
                <w:color w:val="auto"/>
              </w:rPr>
            </w:pPr>
            <w:r>
              <w:rPr>
                <w:rFonts w:ascii="Times New Roman" w:cs="Times New Roman" w:eastAsia="Times New Roman" w:hAnsi="Times New Roman"/>
                <w:sz w:val="10"/>
                <w:szCs w:val="10"/>
                <w:color w:val="auto"/>
              </w:rPr>
              <w:t>(705,067)</w:t>
            </w:r>
          </w:p>
        </w:tc>
        <w:tc>
          <w:tcPr>
            <w:tcW w:w="58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88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0"/>
                <w:szCs w:val="10"/>
                <w:color w:val="auto"/>
              </w:rPr>
              <w:t>Other cost</w:t>
            </w:r>
          </w:p>
        </w:tc>
        <w:tc>
          <w:tcPr>
            <w:tcW w:w="480" w:type="dxa"/>
            <w:vAlign w:val="bottom"/>
            <w:gridSpan w:val="2"/>
            <w:shd w:val="clear" w:color="auto" w:fill="CCEEFF"/>
          </w:tcPr>
          <w:p>
            <w:pPr>
              <w:ind w:left="2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(2,846)</w:t>
            </w:r>
          </w:p>
        </w:tc>
        <w:tc>
          <w:tcPr>
            <w:tcW w:w="60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(2,846)</w:t>
            </w:r>
          </w:p>
        </w:tc>
        <w:tc>
          <w:tcPr>
            <w:tcW w:w="480" w:type="dxa"/>
            <w:vAlign w:val="bottom"/>
            <w:gridSpan w:val="2"/>
            <w:shd w:val="clear" w:color="auto" w:fill="CCEEFF"/>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(2,670)</w:t>
            </w:r>
          </w:p>
        </w:tc>
        <w:tc>
          <w:tcPr>
            <w:tcW w:w="60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(2,670)</w:t>
            </w:r>
          </w:p>
        </w:tc>
        <w:tc>
          <w:tcPr>
            <w:tcW w:w="480" w:type="dxa"/>
            <w:vAlign w:val="bottom"/>
            <w:gridSpan w:val="2"/>
            <w:shd w:val="clear" w:color="auto" w:fill="CCEEFF"/>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00"/>
              <w:spacing w:after="0" w:line="109"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40"/>
              <w:spacing w:after="0" w:line="109" w:lineRule="exact"/>
              <w:rPr>
                <w:sz w:val="20"/>
                <w:szCs w:val="20"/>
                <w:color w:val="auto"/>
              </w:rPr>
            </w:pPr>
            <w:r>
              <w:rPr>
                <w:rFonts w:ascii="Times New Roman" w:cs="Times New Roman" w:eastAsia="Times New Roman" w:hAnsi="Times New Roman"/>
                <w:sz w:val="10"/>
                <w:szCs w:val="10"/>
                <w:color w:val="auto"/>
              </w:rPr>
              <w:t>(28,282)</w:t>
            </w:r>
          </w:p>
        </w:tc>
        <w:tc>
          <w:tcPr>
            <w:tcW w:w="580" w:type="dxa"/>
            <w:vAlign w:val="bottom"/>
            <w:gridSpan w:val="2"/>
            <w:shd w:val="clear" w:color="auto" w:fill="CCEEFF"/>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88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Total operating</w:t>
            </w: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88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costs</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(816,353)</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(816,353)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(317)</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(1,690,440)</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(1,690,757)</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(942)</w:t>
            </w:r>
          </w:p>
        </w:tc>
        <w:tc>
          <w:tcPr>
            <w:tcW w:w="4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(733,349)</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88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0"/>
                <w:szCs w:val="10"/>
                <w:color w:val="auto"/>
              </w:rPr>
              <w:t>Selling expenses</w:t>
            </w:r>
          </w:p>
        </w:tc>
        <w:tc>
          <w:tcPr>
            <w:tcW w:w="480" w:type="dxa"/>
            <w:vAlign w:val="bottom"/>
            <w:gridSpan w:val="2"/>
            <w:shd w:val="clear" w:color="auto" w:fill="CCEEFF"/>
          </w:tcPr>
          <w:p>
            <w:pPr>
              <w:ind w:left="2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(230,438)</w:t>
            </w:r>
          </w:p>
        </w:tc>
        <w:tc>
          <w:tcPr>
            <w:tcW w:w="60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(230,438)</w:t>
            </w:r>
          </w:p>
        </w:tc>
        <w:tc>
          <w:tcPr>
            <w:tcW w:w="480" w:type="dxa"/>
            <w:vAlign w:val="bottom"/>
            <w:gridSpan w:val="2"/>
            <w:shd w:val="clear" w:color="auto" w:fill="CCEEFF"/>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(4,268)</w:t>
            </w:r>
          </w:p>
        </w:tc>
        <w:tc>
          <w:tcPr>
            <w:tcW w:w="500" w:type="dxa"/>
            <w:vAlign w:val="bottom"/>
            <w:gridSpan w:val="2"/>
            <w:shd w:val="clear" w:color="auto" w:fill="CCEEFF"/>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(346,305)</w:t>
            </w:r>
          </w:p>
        </w:tc>
        <w:tc>
          <w:tcPr>
            <w:tcW w:w="60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(350,573)</w:t>
            </w:r>
          </w:p>
        </w:tc>
        <w:tc>
          <w:tcPr>
            <w:tcW w:w="480" w:type="dxa"/>
            <w:vAlign w:val="bottom"/>
            <w:gridSpan w:val="2"/>
            <w:shd w:val="clear" w:color="auto" w:fill="CCEEFF"/>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20"/>
              <w:spacing w:after="0" w:line="109" w:lineRule="exact"/>
              <w:rPr>
                <w:sz w:val="20"/>
                <w:szCs w:val="20"/>
                <w:color w:val="auto"/>
              </w:rPr>
            </w:pPr>
            <w:r>
              <w:rPr>
                <w:rFonts w:ascii="Times New Roman" w:cs="Times New Roman" w:eastAsia="Times New Roman" w:hAnsi="Times New Roman"/>
                <w:sz w:val="10"/>
                <w:szCs w:val="10"/>
                <w:color w:val="auto"/>
              </w:rPr>
              <w:t>(1,250)</w:t>
            </w:r>
          </w:p>
        </w:tc>
        <w:tc>
          <w:tcPr>
            <w:tcW w:w="540" w:type="dxa"/>
            <w:vAlign w:val="bottom"/>
            <w:gridSpan w:val="3"/>
            <w:shd w:val="clear" w:color="auto" w:fill="CCEEFF"/>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(1,520)</w:t>
            </w:r>
          </w:p>
        </w:tc>
        <w:tc>
          <w:tcPr>
            <w:tcW w:w="560" w:type="dxa"/>
            <w:vAlign w:val="bottom"/>
            <w:gridSpan w:val="2"/>
            <w:shd w:val="clear" w:color="auto" w:fill="CCEEFF"/>
          </w:tcPr>
          <w:p>
            <w:pPr>
              <w:jc w:val="right"/>
              <w:ind w:right="40"/>
              <w:spacing w:after="0" w:line="109" w:lineRule="exact"/>
              <w:rPr>
                <w:sz w:val="20"/>
                <w:szCs w:val="20"/>
                <w:color w:val="auto"/>
              </w:rPr>
            </w:pPr>
            <w:r>
              <w:rPr>
                <w:rFonts w:ascii="Times New Roman" w:cs="Times New Roman" w:eastAsia="Times New Roman" w:hAnsi="Times New Roman"/>
                <w:sz w:val="10"/>
                <w:szCs w:val="10"/>
                <w:color w:val="auto"/>
              </w:rPr>
              <w:t>(230,414)</w:t>
            </w:r>
          </w:p>
        </w:tc>
        <w:tc>
          <w:tcPr>
            <w:tcW w:w="5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1,520</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7"/>
        </w:trPr>
        <w:tc>
          <w:tcPr>
            <w:tcW w:w="88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General and</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8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administrative</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expenses</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(4,611)</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(8,668)</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(136,921)</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(150,207)</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(5,994)</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(18,751)</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(52)</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(172,822)</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(197,619)</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(4,614)</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(13,514)</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(68)</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(136,519)</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7"/>
        </w:trPr>
        <w:tc>
          <w:tcPr>
            <w:tcW w:w="88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Research and</w:t>
            </w: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8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development</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expenses</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(49,135)</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(49,135)</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(120,478)</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(120,478)</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(80,911)</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8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Total operating</w:t>
            </w: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8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costs and</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8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expenses</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(4,611)</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(8,668)</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(1,232,847)</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(1,246,133)</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(5,994)</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(23,336)</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(52)</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(2,330,045)</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(2,359,427)</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(4,614)</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(15,706)</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(1,588)</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(1,181,193)</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1,520</w:t>
            </w:r>
          </w:p>
        </w:tc>
        <w:tc>
          <w:tcPr>
            <w:tcW w:w="8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880" w:type="dxa"/>
            <w:vAlign w:val="bottom"/>
            <w:shd w:val="clear" w:color="auto" w:fill="CCEEFF"/>
          </w:tcPr>
          <w:p>
            <w:pPr>
              <w:spacing w:after="0" w:line="83" w:lineRule="exact"/>
              <w:rPr>
                <w:sz w:val="20"/>
                <w:szCs w:val="20"/>
                <w:color w:val="auto"/>
              </w:rPr>
            </w:pPr>
            <w:r>
              <w:rPr>
                <w:rFonts w:ascii="Times New Roman" w:cs="Times New Roman" w:eastAsia="Times New Roman" w:hAnsi="Times New Roman"/>
                <w:sz w:val="8"/>
                <w:szCs w:val="8"/>
                <w:b w:val="1"/>
                <w:bCs w:val="1"/>
                <w:color w:val="auto"/>
              </w:rPr>
              <w:t>Operating</w:t>
            </w: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(loss)/income</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(4,383)</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(8,668)</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(12,853)</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(25,911)</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(4,725)</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(22,471)</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(52)</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(87,163)</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(114,411)</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(3,061)</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(14,144)</w:t>
            </w: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(1,588)</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(24,880)</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Other income/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8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88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(expenses)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88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Interest</w:t>
            </w: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(expenses)/income</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645</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(1,813)</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(1,157)</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840</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42</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(4,092)</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(3,206)</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525</w:t>
            </w: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5</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(5,592)</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88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Unrealized exchange</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(loss)/income</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421</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(14)</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10"/>
                <w:szCs w:val="1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(421)</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(59)</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(59)</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(84)</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5</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0"/>
                <w:szCs w:val="10"/>
                <w:color w:val="auto"/>
              </w:rPr>
              <w:t>Investment income</w:t>
            </w:r>
          </w:p>
        </w:tc>
        <w:tc>
          <w:tcPr>
            <w:tcW w:w="480" w:type="dxa"/>
            <w:vAlign w:val="bottom"/>
            <w:gridSpan w:val="2"/>
            <w:shd w:val="clear" w:color="auto" w:fill="CCEEFF"/>
          </w:tcPr>
          <w:p>
            <w:pPr>
              <w:ind w:left="2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00"/>
              <w:spacing w:after="0" w:line="109" w:lineRule="exact"/>
              <w:rPr>
                <w:sz w:val="20"/>
                <w:szCs w:val="20"/>
                <w:color w:val="auto"/>
              </w:rPr>
            </w:pPr>
            <w:r>
              <w:rPr>
                <w:rFonts w:ascii="Times New Roman" w:cs="Times New Roman" w:eastAsia="Times New Roman" w:hAnsi="Times New Roman"/>
                <w:sz w:val="10"/>
                <w:szCs w:val="10"/>
                <w:color w:val="auto"/>
              </w:rPr>
              <w:t>137</w:t>
            </w:r>
          </w:p>
        </w:tc>
        <w:tc>
          <w:tcPr>
            <w:tcW w:w="60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00"/>
              <w:spacing w:after="0" w:line="109" w:lineRule="exact"/>
              <w:rPr>
                <w:sz w:val="20"/>
                <w:szCs w:val="20"/>
                <w:color w:val="auto"/>
              </w:rPr>
            </w:pPr>
            <w:r>
              <w:rPr>
                <w:rFonts w:ascii="Times New Roman" w:cs="Times New Roman" w:eastAsia="Times New Roman" w:hAnsi="Times New Roman"/>
                <w:sz w:val="10"/>
                <w:szCs w:val="10"/>
                <w:color w:val="auto"/>
              </w:rPr>
              <w:t>137</w:t>
            </w:r>
          </w:p>
        </w:tc>
        <w:tc>
          <w:tcPr>
            <w:tcW w:w="480" w:type="dxa"/>
            <w:vAlign w:val="bottom"/>
            <w:gridSpan w:val="2"/>
            <w:shd w:val="clear" w:color="auto" w:fill="CCEEFF"/>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(3,959)</w:t>
            </w:r>
          </w:p>
        </w:tc>
        <w:tc>
          <w:tcPr>
            <w:tcW w:w="500" w:type="dxa"/>
            <w:vAlign w:val="bottom"/>
            <w:gridSpan w:val="2"/>
            <w:shd w:val="clear" w:color="auto" w:fill="CCEEFF"/>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(1,369)</w:t>
            </w:r>
          </w:p>
        </w:tc>
        <w:tc>
          <w:tcPr>
            <w:tcW w:w="60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60"/>
              <w:spacing w:after="0" w:line="109" w:lineRule="exact"/>
              <w:rPr>
                <w:sz w:val="20"/>
                <w:szCs w:val="20"/>
                <w:color w:val="auto"/>
              </w:rPr>
            </w:pPr>
            <w:r>
              <w:rPr>
                <w:rFonts w:ascii="Times New Roman" w:cs="Times New Roman" w:eastAsia="Times New Roman" w:hAnsi="Times New Roman"/>
                <w:sz w:val="10"/>
                <w:szCs w:val="10"/>
                <w:color w:val="auto"/>
              </w:rPr>
              <w:t>(5,328)</w:t>
            </w:r>
          </w:p>
        </w:tc>
        <w:tc>
          <w:tcPr>
            <w:tcW w:w="480" w:type="dxa"/>
            <w:vAlign w:val="bottom"/>
            <w:gridSpan w:val="2"/>
            <w:shd w:val="clear" w:color="auto" w:fill="CCEEFF"/>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20"/>
              <w:spacing w:after="0" w:line="109" w:lineRule="exact"/>
              <w:rPr>
                <w:sz w:val="20"/>
                <w:szCs w:val="20"/>
                <w:color w:val="auto"/>
              </w:rPr>
            </w:pPr>
            <w:r>
              <w:rPr>
                <w:rFonts w:ascii="Times New Roman" w:cs="Times New Roman" w:eastAsia="Times New Roman" w:hAnsi="Times New Roman"/>
                <w:sz w:val="10"/>
                <w:szCs w:val="10"/>
                <w:color w:val="auto"/>
              </w:rPr>
              <w:t>(2,784)</w:t>
            </w:r>
          </w:p>
        </w:tc>
        <w:tc>
          <w:tcPr>
            <w:tcW w:w="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568</w:t>
            </w:r>
          </w:p>
        </w:tc>
        <w:tc>
          <w:tcPr>
            <w:tcW w:w="8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80" w:type="dxa"/>
            <w:vAlign w:val="bottom"/>
          </w:tcPr>
          <w:p>
            <w:pPr>
              <w:spacing w:after="0" w:line="109" w:lineRule="exact"/>
              <w:rPr>
                <w:sz w:val="20"/>
                <w:szCs w:val="20"/>
                <w:color w:val="auto"/>
              </w:rPr>
            </w:pPr>
            <w:r>
              <w:rPr>
                <w:rFonts w:ascii="Times New Roman" w:cs="Times New Roman" w:eastAsia="Times New Roman" w:hAnsi="Times New Roman"/>
                <w:sz w:val="10"/>
                <w:szCs w:val="10"/>
                <w:color w:val="auto"/>
              </w:rPr>
              <w:t>Others, net</w:t>
            </w:r>
          </w:p>
        </w:tc>
        <w:tc>
          <w:tcPr>
            <w:tcW w:w="480" w:type="dxa"/>
            <w:vAlign w:val="bottom"/>
            <w:gridSpan w:val="2"/>
          </w:tcPr>
          <w:p>
            <w:pPr>
              <w:ind w:left="2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24</w:t>
            </w:r>
          </w:p>
        </w:tc>
        <w:tc>
          <w:tcPr>
            <w:tcW w:w="80" w:type="dxa"/>
            <w:vAlign w:val="bottom"/>
          </w:tcPr>
          <w:p>
            <w:pPr>
              <w:spacing w:after="0"/>
              <w:rPr>
                <w:sz w:val="9"/>
                <w:szCs w:val="9"/>
                <w:color w:val="auto"/>
              </w:rPr>
            </w:pPr>
          </w:p>
        </w:tc>
        <w:tc>
          <w:tcPr>
            <w:tcW w:w="5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color w:val="auto"/>
              </w:rPr>
              <w:t>10,153</w:t>
            </w: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color w:val="auto"/>
              </w:rPr>
              <w:t>10,177</w:t>
            </w:r>
          </w:p>
        </w:tc>
        <w:tc>
          <w:tcPr>
            <w:tcW w:w="48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color w:val="auto"/>
              </w:rPr>
              <w:t>12,627</w:t>
            </w: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color w:val="auto"/>
              </w:rPr>
              <w:t>12,627</w:t>
            </w:r>
          </w:p>
        </w:tc>
        <w:tc>
          <w:tcPr>
            <w:tcW w:w="48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40"/>
              <w:spacing w:after="0" w:line="109" w:lineRule="exact"/>
              <w:rPr>
                <w:sz w:val="20"/>
                <w:szCs w:val="20"/>
                <w:color w:val="auto"/>
              </w:rPr>
            </w:pPr>
            <w:r>
              <w:rPr>
                <w:rFonts w:ascii="Times New Roman" w:cs="Times New Roman" w:eastAsia="Times New Roman" w:hAnsi="Times New Roman"/>
                <w:sz w:val="10"/>
                <w:szCs w:val="10"/>
                <w:color w:val="auto"/>
              </w:rPr>
              <w:t>257</w:t>
            </w:r>
          </w:p>
        </w:tc>
        <w:tc>
          <w:tcPr>
            <w:tcW w:w="540" w:type="dxa"/>
            <w:vAlign w:val="bottom"/>
            <w:gridSpan w:val="3"/>
          </w:tcPr>
          <w:p>
            <w:pPr>
              <w:jc w:val="right"/>
              <w:ind w:right="100"/>
              <w:spacing w:after="0" w:line="109" w:lineRule="exact"/>
              <w:rPr>
                <w:sz w:val="20"/>
                <w:szCs w:val="20"/>
                <w:color w:val="auto"/>
              </w:rPr>
            </w:pPr>
            <w:r>
              <w:rPr>
                <w:rFonts w:ascii="Times New Roman" w:cs="Times New Roman" w:eastAsia="Times New Roman" w:hAnsi="Times New Roman"/>
                <w:sz w:val="10"/>
                <w:szCs w:val="10"/>
                <w:color w:val="auto"/>
              </w:rPr>
              <w:t>1,292</w:t>
            </w:r>
          </w:p>
        </w:tc>
        <w:tc>
          <w:tcPr>
            <w:tcW w:w="4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17,941</w:t>
            </w:r>
          </w:p>
        </w:tc>
        <w:tc>
          <w:tcPr>
            <w:tcW w:w="80" w:type="dxa"/>
            <w:vAlign w:val="bottom"/>
          </w:tcPr>
          <w:p>
            <w:pPr>
              <w:spacing w:after="0"/>
              <w:rPr>
                <w:sz w:val="9"/>
                <w:szCs w:val="9"/>
                <w:color w:val="auto"/>
              </w:rPr>
            </w:pPr>
          </w:p>
        </w:tc>
        <w:tc>
          <w:tcPr>
            <w:tcW w:w="58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8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Profit before</w:t>
            </w: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8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income tax, and</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share of</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(loss)/income of</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equity method</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investee</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(3,951)</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(8,013)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(4,797)</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(16,763)</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(4,721)</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(25,649)</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(10)</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(79,997)</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(110,377)</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(3,061)</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(16,230)</w:t>
            </w: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(286)</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(11,963)</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Income tax expense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80" w:type="dxa"/>
            <w:vAlign w:val="bottom"/>
            <w:vMerge w:val="continue"/>
          </w:tcPr>
          <w:p>
            <w:pPr>
              <w:spacing w:after="0"/>
              <w:rPr>
                <w:sz w:val="8"/>
                <w:szCs w:val="8"/>
                <w:color w:val="auto"/>
              </w:rPr>
            </w:pPr>
          </w:p>
        </w:tc>
        <w:tc>
          <w:tcPr>
            <w:tcW w:w="480" w:type="dxa"/>
            <w:vAlign w:val="bottom"/>
            <w:gridSpan w:val="2"/>
          </w:tcPr>
          <w:p>
            <w:pPr>
              <w:ind w:left="260"/>
              <w:spacing w:after="0" w:line="97"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(1,768)</w:t>
            </w:r>
          </w:p>
        </w:tc>
        <w:tc>
          <w:tcPr>
            <w:tcW w:w="60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(1,768)</w:t>
            </w:r>
          </w:p>
        </w:tc>
        <w:tc>
          <w:tcPr>
            <w:tcW w:w="480" w:type="dxa"/>
            <w:vAlign w:val="bottom"/>
            <w:gridSpan w:val="2"/>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50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88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Share of</w:t>
            </w: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8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income/(loss) of</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equity method</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investee</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239</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239</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2,660</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2,660</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(2,200)</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88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Share of</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8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income/(loss) of</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subsidiaries and</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color w:val="auto"/>
                <w:w w:val="99"/>
              </w:rPr>
              <w:t>26,995</w:t>
            </w:r>
            <w:r>
              <w:rPr>
                <w:rFonts w:ascii="Times New Roman" w:cs="Times New Roman" w:eastAsia="Times New Roman" w:hAnsi="Times New Roman"/>
                <w:sz w:val="14"/>
                <w:szCs w:val="14"/>
                <w:color w:val="auto"/>
                <w:w w:val="99"/>
                <w:vertAlign w:val="superscript"/>
              </w:rPr>
              <w:t>(i)</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color w:val="auto"/>
                <w:w w:val="96"/>
              </w:rPr>
              <w:t>257,527</w:t>
            </w:r>
            <w:r>
              <w:rPr>
                <w:rFonts w:ascii="Times New Roman" w:cs="Times New Roman" w:eastAsia="Times New Roman" w:hAnsi="Times New Roman"/>
                <w:sz w:val="14"/>
                <w:szCs w:val="14"/>
                <w:color w:val="auto"/>
                <w:w w:val="96"/>
                <w:vertAlign w:val="superscript"/>
              </w:rPr>
              <w:t>(i)</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VIE</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(14,341)</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(6,328)</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(6,326)</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continue"/>
          </w:tcPr>
          <w:p>
            <w:pPr>
              <w:spacing w:after="0"/>
              <w:rPr>
                <w:sz w:val="10"/>
                <w:szCs w:val="1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(102,945)</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(77,296)</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(77,286)</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(28,126)</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(11,896)</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(11,610)</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51,632</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340"/>
          </w:cols>
          <w:pgMar w:left="320" w:top="447"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8" w:lineRule="exact"/>
        <w:rPr>
          <w:sz w:val="20"/>
          <w:szCs w:val="20"/>
          <w:color w:val="auto"/>
        </w:rPr>
      </w:pPr>
    </w:p>
    <w:tbl>
      <w:tblPr>
        <w:tblLayout w:type="fixed"/>
        <w:tblInd w:w="700" w:type="dxa"/>
        <w:tblCellMar>
          <w:top w:w="0" w:type="dxa"/>
          <w:left w:w="0" w:type="dxa"/>
          <w:bottom w:w="0" w:type="dxa"/>
          <w:right w:w="0" w:type="dxa"/>
        </w:tblCellMar>
      </w:tblPr>
      <w:tr>
        <w:trPr>
          <w:trHeight w:val="122"/>
        </w:trPr>
        <w:tc>
          <w:tcPr>
            <w:tcW w:w="9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0"/>
                <w:szCs w:val="10"/>
                <w:b w:val="1"/>
                <w:bCs w:val="1"/>
                <w:color w:val="auto"/>
              </w:rPr>
              <w:t>For the Year Ended December 31, 2020</w:t>
            </w: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0"/>
                <w:szCs w:val="10"/>
                <w:b w:val="1"/>
                <w:bCs w:val="1"/>
                <w:color w:val="auto"/>
                <w:w w:val="99"/>
              </w:rPr>
              <w:t>For the Year Ended December 31, 2021</w:t>
            </w: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6"/>
              </w:rPr>
              <w:t>For the Year Ended December 31, 2022</w:t>
            </w:r>
          </w:p>
        </w:tc>
        <w:tc>
          <w:tcPr>
            <w:tcW w:w="0" w:type="dxa"/>
            <w:vAlign w:val="bottom"/>
          </w:tcPr>
          <w:p>
            <w:pPr>
              <w:spacing w:after="0"/>
              <w:rPr>
                <w:sz w:val="1"/>
                <w:szCs w:val="1"/>
                <w:color w:val="auto"/>
              </w:rPr>
            </w:pPr>
          </w:p>
        </w:tc>
      </w:tr>
      <w:tr>
        <w:trPr>
          <w:trHeight w:val="87"/>
        </w:trPr>
        <w:tc>
          <w:tcPr>
            <w:tcW w:w="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right"/>
              <w:ind w:right="80"/>
              <w:spacing w:after="0" w:line="87" w:lineRule="exact"/>
              <w:rPr>
                <w:sz w:val="20"/>
                <w:szCs w:val="20"/>
                <w:color w:val="auto"/>
              </w:rPr>
            </w:pPr>
            <w:r>
              <w:rPr>
                <w:rFonts w:ascii="Times New Roman" w:cs="Times New Roman" w:eastAsia="Times New Roman" w:hAnsi="Times New Roman"/>
                <w:sz w:val="10"/>
                <w:szCs w:val="10"/>
                <w:b w:val="1"/>
                <w:bCs w:val="1"/>
                <w:color w:val="auto"/>
                <w:w w:val="91"/>
              </w:rPr>
              <w:t>Subsidiaries</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right"/>
              <w:ind w:right="80"/>
              <w:spacing w:after="0" w:line="87" w:lineRule="exact"/>
              <w:rPr>
                <w:sz w:val="20"/>
                <w:szCs w:val="20"/>
                <w:color w:val="auto"/>
              </w:rPr>
            </w:pPr>
            <w:r>
              <w:rPr>
                <w:rFonts w:ascii="Times New Roman" w:cs="Times New Roman" w:eastAsia="Times New Roman" w:hAnsi="Times New Roman"/>
                <w:sz w:val="10"/>
                <w:szCs w:val="10"/>
                <w:b w:val="1"/>
                <w:bCs w:val="1"/>
                <w:color w:val="auto"/>
                <w:w w:val="91"/>
              </w:rPr>
              <w:t>Subsidiaries</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Subsidiaries</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5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Parent</w:t>
            </w:r>
          </w:p>
        </w:tc>
        <w:tc>
          <w:tcPr>
            <w:tcW w:w="5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of parent</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VIE and its</w:t>
            </w:r>
          </w:p>
        </w:tc>
        <w:tc>
          <w:tcPr>
            <w:tcW w:w="680" w:type="dxa"/>
            <w:vAlign w:val="bottom"/>
            <w:gridSpan w:val="2"/>
          </w:tcPr>
          <w:p>
            <w:pPr>
              <w:jc w:val="right"/>
              <w:ind w:right="200"/>
              <w:spacing w:after="0" w:line="109" w:lineRule="exact"/>
              <w:rPr>
                <w:sz w:val="20"/>
                <w:szCs w:val="20"/>
                <w:color w:val="auto"/>
              </w:rPr>
            </w:pPr>
            <w:r>
              <w:rPr>
                <w:rFonts w:ascii="Times New Roman" w:cs="Times New Roman" w:eastAsia="Times New Roman" w:hAnsi="Times New Roman"/>
                <w:sz w:val="10"/>
                <w:szCs w:val="10"/>
                <w:b w:val="1"/>
                <w:bCs w:val="1"/>
                <w:color w:val="auto"/>
                <w:w w:val="90"/>
              </w:rPr>
              <w:t>Elimination</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Parent</w:t>
            </w:r>
          </w:p>
        </w:tc>
        <w:tc>
          <w:tcPr>
            <w:tcW w:w="5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of parent</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3"/>
              </w:rPr>
              <w:t>VIE and its</w:t>
            </w:r>
          </w:p>
        </w:tc>
        <w:tc>
          <w:tcPr>
            <w:tcW w:w="66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Elimination</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Parent</w:t>
            </w:r>
          </w:p>
        </w:tc>
        <w:tc>
          <w:tcPr>
            <w:tcW w:w="58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0"/>
                <w:szCs w:val="10"/>
                <w:b w:val="1"/>
                <w:bCs w:val="1"/>
                <w:color w:val="auto"/>
              </w:rPr>
              <w:t>of parent</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3"/>
              </w:rPr>
              <w:t>VIE and its</w:t>
            </w:r>
          </w:p>
        </w:tc>
        <w:tc>
          <w:tcPr>
            <w:tcW w:w="66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0"/>
                <w:szCs w:val="10"/>
                <w:b w:val="1"/>
                <w:bCs w:val="1"/>
                <w:color w:val="auto"/>
                <w:w w:val="90"/>
              </w:rPr>
              <w:t>Elimination</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50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7"/>
              </w:rPr>
              <w:t>company</w:t>
            </w:r>
          </w:p>
        </w:tc>
        <w:tc>
          <w:tcPr>
            <w:tcW w:w="5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company</w:t>
            </w:r>
          </w:p>
        </w:tc>
        <w:tc>
          <w:tcPr>
            <w:tcW w:w="5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WFOE</w:t>
            </w:r>
          </w:p>
        </w:tc>
        <w:tc>
          <w:tcPr>
            <w:tcW w:w="58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subsidiaries</w:t>
            </w:r>
          </w:p>
        </w:tc>
        <w:tc>
          <w:tcPr>
            <w:tcW w:w="680" w:type="dxa"/>
            <w:vAlign w:val="bottom"/>
            <w:gridSpan w:val="2"/>
          </w:tcPr>
          <w:p>
            <w:pPr>
              <w:ind w:left="80"/>
              <w:spacing w:after="0" w:line="109" w:lineRule="exact"/>
              <w:rPr>
                <w:sz w:val="20"/>
                <w:szCs w:val="20"/>
                <w:color w:val="auto"/>
              </w:rPr>
            </w:pPr>
            <w:r>
              <w:rPr>
                <w:rFonts w:ascii="Times New Roman" w:cs="Times New Roman" w:eastAsia="Times New Roman" w:hAnsi="Times New Roman"/>
                <w:sz w:val="10"/>
                <w:szCs w:val="10"/>
                <w:b w:val="1"/>
                <w:bCs w:val="1"/>
                <w:color w:val="auto"/>
              </w:rPr>
              <w:t>(Note 1)</w:t>
            </w:r>
          </w:p>
        </w:tc>
        <w:tc>
          <w:tcPr>
            <w:tcW w:w="62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0"/>
                <w:szCs w:val="10"/>
                <w:b w:val="1"/>
                <w:bCs w:val="1"/>
                <w:color w:val="auto"/>
                <w:w w:val="92"/>
              </w:rPr>
              <w:t>Consolidated</w:t>
            </w:r>
          </w:p>
        </w:tc>
        <w:tc>
          <w:tcPr>
            <w:tcW w:w="50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0"/>
                <w:szCs w:val="10"/>
                <w:b w:val="1"/>
                <w:bCs w:val="1"/>
                <w:color w:val="auto"/>
                <w:w w:val="92"/>
              </w:rPr>
              <w:t>company</w:t>
            </w:r>
          </w:p>
        </w:tc>
        <w:tc>
          <w:tcPr>
            <w:tcW w:w="5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company</w:t>
            </w:r>
          </w:p>
        </w:tc>
        <w:tc>
          <w:tcPr>
            <w:tcW w:w="5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WFOE</w:t>
            </w:r>
          </w:p>
        </w:tc>
        <w:tc>
          <w:tcPr>
            <w:tcW w:w="5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0"/>
              </w:rPr>
              <w:t>subsidiaries</w:t>
            </w:r>
          </w:p>
        </w:tc>
        <w:tc>
          <w:tcPr>
            <w:tcW w:w="660" w:type="dxa"/>
            <w:vAlign w:val="bottom"/>
            <w:gridSpan w:val="2"/>
          </w:tcPr>
          <w:p>
            <w:pPr>
              <w:ind w:left="80"/>
              <w:spacing w:after="0" w:line="109" w:lineRule="exact"/>
              <w:rPr>
                <w:sz w:val="20"/>
                <w:szCs w:val="20"/>
                <w:color w:val="auto"/>
              </w:rPr>
            </w:pPr>
            <w:r>
              <w:rPr>
                <w:rFonts w:ascii="Times New Roman" w:cs="Times New Roman" w:eastAsia="Times New Roman" w:hAnsi="Times New Roman"/>
                <w:sz w:val="10"/>
                <w:szCs w:val="10"/>
                <w:b w:val="1"/>
                <w:bCs w:val="1"/>
                <w:color w:val="auto"/>
              </w:rPr>
              <w:t>(Note 1)</w:t>
            </w:r>
          </w:p>
        </w:tc>
        <w:tc>
          <w:tcPr>
            <w:tcW w:w="640" w:type="dxa"/>
            <w:vAlign w:val="bottom"/>
            <w:gridSpan w:val="2"/>
          </w:tcPr>
          <w:p>
            <w:pPr>
              <w:jc w:val="right"/>
              <w:ind w:right="74"/>
              <w:spacing w:after="0" w:line="109" w:lineRule="exact"/>
              <w:rPr>
                <w:sz w:val="20"/>
                <w:szCs w:val="20"/>
                <w:color w:val="auto"/>
              </w:rPr>
            </w:pPr>
            <w:r>
              <w:rPr>
                <w:rFonts w:ascii="Times New Roman" w:cs="Times New Roman" w:eastAsia="Times New Roman" w:hAnsi="Times New Roman"/>
                <w:sz w:val="10"/>
                <w:szCs w:val="10"/>
                <w:b w:val="1"/>
                <w:bCs w:val="1"/>
                <w:color w:val="auto"/>
                <w:w w:val="96"/>
              </w:rPr>
              <w:t>Consolidated</w:t>
            </w:r>
          </w:p>
        </w:tc>
        <w:tc>
          <w:tcPr>
            <w:tcW w:w="50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0"/>
                <w:szCs w:val="10"/>
                <w:b w:val="1"/>
                <w:bCs w:val="1"/>
                <w:color w:val="auto"/>
                <w:w w:val="92"/>
              </w:rPr>
              <w:t>company</w:t>
            </w:r>
          </w:p>
        </w:tc>
        <w:tc>
          <w:tcPr>
            <w:tcW w:w="58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0"/>
                <w:szCs w:val="10"/>
                <w:b w:val="1"/>
                <w:bCs w:val="1"/>
                <w:color w:val="auto"/>
              </w:rPr>
              <w:t>company</w:t>
            </w:r>
          </w:p>
        </w:tc>
        <w:tc>
          <w:tcPr>
            <w:tcW w:w="5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WFOE</w:t>
            </w:r>
          </w:p>
        </w:tc>
        <w:tc>
          <w:tcPr>
            <w:tcW w:w="5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0"/>
              </w:rPr>
              <w:t>subsidiaries</w:t>
            </w:r>
          </w:p>
        </w:tc>
        <w:tc>
          <w:tcPr>
            <w:tcW w:w="660" w:type="dxa"/>
            <w:vAlign w:val="bottom"/>
            <w:gridSpan w:val="2"/>
          </w:tcPr>
          <w:p>
            <w:pPr>
              <w:jc w:val="right"/>
              <w:ind w:right="260"/>
              <w:spacing w:after="0" w:line="109" w:lineRule="exact"/>
              <w:rPr>
                <w:sz w:val="20"/>
                <w:szCs w:val="20"/>
                <w:color w:val="auto"/>
              </w:rPr>
            </w:pPr>
            <w:r>
              <w:rPr>
                <w:rFonts w:ascii="Times New Roman" w:cs="Times New Roman" w:eastAsia="Times New Roman" w:hAnsi="Times New Roman"/>
                <w:sz w:val="10"/>
                <w:szCs w:val="10"/>
                <w:b w:val="1"/>
                <w:bCs w:val="1"/>
                <w:color w:val="auto"/>
              </w:rPr>
              <w:t>(Note 1)</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640" w:type="dxa"/>
            <w:vAlign w:val="bottom"/>
            <w:gridSpan w:val="2"/>
          </w:tcPr>
          <w:p>
            <w:pPr>
              <w:jc w:val="right"/>
              <w:ind w:right="154"/>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0" w:type="dxa"/>
            <w:vAlign w:val="bottom"/>
          </w:tcPr>
          <w:p>
            <w:pPr>
              <w:spacing w:after="0"/>
              <w:rPr>
                <w:sz w:val="1"/>
                <w:szCs w:val="1"/>
                <w:color w:val="auto"/>
              </w:rPr>
            </w:pPr>
          </w:p>
        </w:tc>
      </w:tr>
      <w:tr>
        <w:trPr>
          <w:trHeight w:val="101"/>
        </w:trPr>
        <w:tc>
          <w:tcPr>
            <w:tcW w:w="90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Net profit/(loss)</w:t>
            </w:r>
          </w:p>
        </w:tc>
        <w:tc>
          <w:tcPr>
            <w:tcW w:w="4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(18,292)</w:t>
            </w: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(14,341)</w:t>
            </w:r>
          </w:p>
        </w:tc>
        <w:tc>
          <w:tcPr>
            <w:tcW w:w="8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(6,328)</w:t>
            </w: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bottom w:val="single" w:sz="8" w:color="auto"/>
            </w:tcBorders>
            <w:shd w:val="clear" w:color="auto" w:fill="CCEEFF"/>
          </w:tcPr>
          <w:p>
            <w:pPr>
              <w:ind w:left="240"/>
              <w:spacing w:after="0" w:line="101" w:lineRule="exact"/>
              <w:rPr>
                <w:sz w:val="20"/>
                <w:szCs w:val="20"/>
                <w:color w:val="auto"/>
              </w:rPr>
            </w:pPr>
            <w:r>
              <w:rPr>
                <w:rFonts w:ascii="Times New Roman" w:cs="Times New Roman" w:eastAsia="Times New Roman" w:hAnsi="Times New Roman"/>
                <w:sz w:val="10"/>
                <w:szCs w:val="10"/>
                <w:color w:val="auto"/>
                <w:w w:val="82"/>
              </w:rPr>
              <w:t>(6,326)</w:t>
            </w: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26,995</w:t>
            </w:r>
          </w:p>
        </w:tc>
        <w:tc>
          <w:tcPr>
            <w:tcW w:w="1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(18,292)</w:t>
            </w: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w w:val="96"/>
              </w:rPr>
              <w:t>(107,666)</w:t>
            </w: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(102,945)</w:t>
            </w:r>
          </w:p>
        </w:tc>
        <w:tc>
          <w:tcPr>
            <w:tcW w:w="8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(77,296)</w:t>
            </w: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(77,337)</w:t>
            </w: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bottom w:val="single" w:sz="8" w:color="auto"/>
            </w:tcBorders>
            <w:shd w:val="clear" w:color="auto" w:fill="CCEEFF"/>
          </w:tcPr>
          <w:p>
            <w:pPr>
              <w:ind w:left="180"/>
              <w:spacing w:after="0" w:line="101" w:lineRule="exact"/>
              <w:rPr>
                <w:sz w:val="20"/>
                <w:szCs w:val="20"/>
                <w:color w:val="auto"/>
              </w:rPr>
            </w:pPr>
            <w:r>
              <w:rPr>
                <w:rFonts w:ascii="Times New Roman" w:cs="Times New Roman" w:eastAsia="Times New Roman" w:hAnsi="Times New Roman"/>
                <w:sz w:val="10"/>
                <w:szCs w:val="10"/>
                <w:color w:val="auto"/>
                <w:w w:val="86"/>
              </w:rPr>
              <w:t>257,527</w:t>
            </w:r>
          </w:p>
        </w:tc>
        <w:tc>
          <w:tcPr>
            <w:tcW w:w="1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(107,717</w:t>
            </w:r>
          </w:p>
        </w:tc>
        <w:tc>
          <w:tcPr>
            <w:tcW w:w="80" w:type="dxa"/>
            <w:vAlign w:val="bottom"/>
            <w:tcBorders>
              <w:top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
                <w:szCs w:val="1"/>
                <w:color w:val="auto"/>
                <w:w w:val="4294967281"/>
              </w:rPr>
              <w:t>)</w:t>
            </w:r>
          </w:p>
        </w:tc>
        <w:tc>
          <w:tcPr>
            <w:tcW w:w="4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(31,187)</w:t>
            </w: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bottom w:val="single" w:sz="8" w:color="auto"/>
            </w:tcBorders>
            <w:shd w:val="clear" w:color="auto" w:fill="CCEEFF"/>
          </w:tcPr>
          <w:p>
            <w:pPr>
              <w:ind w:left="200"/>
              <w:spacing w:after="0" w:line="101" w:lineRule="exact"/>
              <w:rPr>
                <w:sz w:val="20"/>
                <w:szCs w:val="20"/>
                <w:color w:val="auto"/>
              </w:rPr>
            </w:pPr>
            <w:r>
              <w:rPr>
                <w:rFonts w:ascii="Times New Roman" w:cs="Times New Roman" w:eastAsia="Times New Roman" w:hAnsi="Times New Roman"/>
                <w:sz w:val="10"/>
                <w:szCs w:val="10"/>
                <w:color w:val="auto"/>
                <w:w w:val="81"/>
              </w:rPr>
              <w:t>(28,126)</w:t>
            </w:r>
          </w:p>
        </w:tc>
        <w:tc>
          <w:tcPr>
            <w:tcW w:w="8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(11,896)</w:t>
            </w: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(14,163)</w:t>
            </w: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51,632</w:t>
            </w:r>
          </w:p>
        </w:tc>
        <w:tc>
          <w:tcPr>
            <w:tcW w:w="1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Net profit/(loss)</w:t>
            </w: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9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90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attributable</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to non-controlling</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0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(51)</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54"/>
              <w:spacing w:after="0"/>
              <w:rPr>
                <w:sz w:val="20"/>
                <w:szCs w:val="20"/>
                <w:color w:val="auto"/>
              </w:rPr>
            </w:pPr>
            <w:r>
              <w:rPr>
                <w:rFonts w:ascii="Times New Roman" w:cs="Times New Roman" w:eastAsia="Times New Roman" w:hAnsi="Times New Roman"/>
                <w:sz w:val="10"/>
                <w:szCs w:val="10"/>
                <w:color w:val="auto"/>
              </w:rPr>
              <w:t>(51)</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(2,553)</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5"/>
        </w:trPr>
        <w:tc>
          <w:tcPr>
            <w:tcW w:w="90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Net profit/(loss)</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0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Huize Holding</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Limited</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(18,292)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(14,341)</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(6,328)</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(6,326)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26,995</w:t>
            </w:r>
          </w:p>
        </w:tc>
        <w:tc>
          <w:tcPr>
            <w:tcW w:w="1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(18,292)</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(107,666)</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(102,945)</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(77,296)</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(77,286)</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257,527</w:t>
            </w:r>
          </w:p>
        </w:tc>
        <w:tc>
          <w:tcPr>
            <w:tcW w:w="6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0"/>
                <w:szCs w:val="10"/>
                <w:color w:val="auto"/>
              </w:rPr>
              <w:t>(107,666)</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(31,187)</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(28,126)</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(11,896)</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(11,610)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51,632</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Redeemable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9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90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preferred shares</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redemption</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value accretion</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(4,274)</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(4,274)</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34"/>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7"/>
        </w:trPr>
        <w:tc>
          <w:tcPr>
            <w:tcW w:w="90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Allocation to</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0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redeemable</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preferred shares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1,074</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1,074</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90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Net (loss)/profit</w:t>
            </w: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0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common</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0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shareholders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(21,492)</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(14,341)</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(6,328)</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0"/>
                <w:szCs w:val="10"/>
                <w:color w:val="auto"/>
              </w:rPr>
              <w:t>(6,326)</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26,995</w:t>
            </w:r>
          </w:p>
        </w:tc>
        <w:tc>
          <w:tcPr>
            <w:tcW w:w="180" w:type="dxa"/>
            <w:vAlign w:val="bottom"/>
          </w:tcPr>
          <w:p>
            <w:pPr>
              <w:spacing w:after="0"/>
              <w:rPr>
                <w:sz w:val="10"/>
                <w:szCs w:val="1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(21,492)</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(107,666)</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(102,945)</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(77,296)</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(77,286)</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257,527</w:t>
            </w:r>
          </w:p>
        </w:tc>
        <w:tc>
          <w:tcPr>
            <w:tcW w:w="640" w:type="dxa"/>
            <w:vAlign w:val="bottom"/>
            <w:gridSpan w:val="2"/>
          </w:tcPr>
          <w:p>
            <w:pPr>
              <w:jc w:val="right"/>
              <w:ind w:right="54"/>
              <w:spacing w:after="0"/>
              <w:rPr>
                <w:sz w:val="20"/>
                <w:szCs w:val="20"/>
                <w:color w:val="auto"/>
              </w:rPr>
            </w:pPr>
            <w:r>
              <w:rPr>
                <w:rFonts w:ascii="Times New Roman" w:cs="Times New Roman" w:eastAsia="Times New Roman" w:hAnsi="Times New Roman"/>
                <w:sz w:val="10"/>
                <w:szCs w:val="10"/>
                <w:color w:val="auto"/>
              </w:rPr>
              <w:t>(107,666)</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(31,187)</w:t>
            </w: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(28,126)</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(11,896)</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(11,610)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51,632</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90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Net profit/(loss)</w:t>
            </w:r>
          </w:p>
        </w:tc>
        <w:tc>
          <w:tcPr>
            <w:tcW w:w="5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(18,292)</w:t>
            </w:r>
          </w:p>
        </w:tc>
        <w:tc>
          <w:tcPr>
            <w:tcW w:w="58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(14,341)</w:t>
            </w:r>
          </w:p>
        </w:tc>
        <w:tc>
          <w:tcPr>
            <w:tcW w:w="5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(6,328)</w:t>
            </w:r>
          </w:p>
        </w:tc>
        <w:tc>
          <w:tcPr>
            <w:tcW w:w="580" w:type="dxa"/>
            <w:vAlign w:val="bottom"/>
            <w:gridSpan w:val="2"/>
            <w:shd w:val="clear" w:color="auto" w:fill="CCEEFF"/>
          </w:tcPr>
          <w:p>
            <w:pPr>
              <w:ind w:left="240"/>
              <w:spacing w:after="0" w:line="97" w:lineRule="exact"/>
              <w:rPr>
                <w:sz w:val="20"/>
                <w:szCs w:val="20"/>
                <w:color w:val="auto"/>
              </w:rPr>
            </w:pPr>
            <w:r>
              <w:rPr>
                <w:rFonts w:ascii="Times New Roman" w:cs="Times New Roman" w:eastAsia="Times New Roman" w:hAnsi="Times New Roman"/>
                <w:sz w:val="10"/>
                <w:szCs w:val="10"/>
                <w:color w:val="auto"/>
              </w:rPr>
              <w:t>(6,326)</w:t>
            </w:r>
          </w:p>
        </w:tc>
        <w:tc>
          <w:tcPr>
            <w:tcW w:w="5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26,995</w:t>
            </w:r>
          </w:p>
        </w:tc>
        <w:tc>
          <w:tcPr>
            <w:tcW w:w="1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(18,292)</w:t>
            </w:r>
          </w:p>
        </w:tc>
        <w:tc>
          <w:tcPr>
            <w:tcW w:w="5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(107,666)</w:t>
            </w:r>
          </w:p>
        </w:tc>
        <w:tc>
          <w:tcPr>
            <w:tcW w:w="58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(102,945)</w:t>
            </w:r>
          </w:p>
        </w:tc>
        <w:tc>
          <w:tcPr>
            <w:tcW w:w="5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(77,296)</w:t>
            </w:r>
          </w:p>
        </w:tc>
        <w:tc>
          <w:tcPr>
            <w:tcW w:w="58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(77,337)</w:t>
            </w:r>
          </w:p>
        </w:tc>
        <w:tc>
          <w:tcPr>
            <w:tcW w:w="660" w:type="dxa"/>
            <w:vAlign w:val="bottom"/>
            <w:gridSpan w:val="2"/>
            <w:shd w:val="clear" w:color="auto" w:fill="CCEEFF"/>
          </w:tcPr>
          <w:p>
            <w:pPr>
              <w:ind w:left="180"/>
              <w:spacing w:after="0" w:line="97" w:lineRule="exact"/>
              <w:rPr>
                <w:sz w:val="20"/>
                <w:szCs w:val="20"/>
                <w:color w:val="auto"/>
              </w:rPr>
            </w:pPr>
            <w:r>
              <w:rPr>
                <w:rFonts w:ascii="Times New Roman" w:cs="Times New Roman" w:eastAsia="Times New Roman" w:hAnsi="Times New Roman"/>
                <w:sz w:val="10"/>
                <w:szCs w:val="10"/>
                <w:color w:val="auto"/>
              </w:rPr>
              <w:t>257,527</w:t>
            </w:r>
          </w:p>
        </w:tc>
        <w:tc>
          <w:tcPr>
            <w:tcW w:w="640" w:type="dxa"/>
            <w:vAlign w:val="bottom"/>
            <w:gridSpan w:val="2"/>
            <w:shd w:val="clear" w:color="auto" w:fill="CCEEFF"/>
          </w:tcPr>
          <w:p>
            <w:pPr>
              <w:jc w:val="right"/>
              <w:ind w:right="54"/>
              <w:spacing w:after="0" w:line="97" w:lineRule="exact"/>
              <w:rPr>
                <w:sz w:val="20"/>
                <w:szCs w:val="20"/>
                <w:color w:val="auto"/>
              </w:rPr>
            </w:pPr>
            <w:r>
              <w:rPr>
                <w:rFonts w:ascii="Times New Roman" w:cs="Times New Roman" w:eastAsia="Times New Roman" w:hAnsi="Times New Roman"/>
                <w:sz w:val="10"/>
                <w:szCs w:val="10"/>
                <w:color w:val="auto"/>
              </w:rPr>
              <w:t>(107,717)</w:t>
            </w:r>
          </w:p>
        </w:tc>
        <w:tc>
          <w:tcPr>
            <w:tcW w:w="5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(31,187)</w:t>
            </w:r>
          </w:p>
        </w:tc>
        <w:tc>
          <w:tcPr>
            <w:tcW w:w="580" w:type="dxa"/>
            <w:vAlign w:val="bottom"/>
            <w:gridSpan w:val="2"/>
            <w:shd w:val="clear" w:color="auto" w:fill="CCEEFF"/>
          </w:tcPr>
          <w:p>
            <w:pPr>
              <w:ind w:left="200"/>
              <w:spacing w:after="0" w:line="97" w:lineRule="exact"/>
              <w:rPr>
                <w:sz w:val="20"/>
                <w:szCs w:val="20"/>
                <w:color w:val="auto"/>
              </w:rPr>
            </w:pPr>
            <w:r>
              <w:rPr>
                <w:rFonts w:ascii="Times New Roman" w:cs="Times New Roman" w:eastAsia="Times New Roman" w:hAnsi="Times New Roman"/>
                <w:sz w:val="10"/>
                <w:szCs w:val="10"/>
                <w:color w:val="auto"/>
              </w:rPr>
              <w:t>(28,126)</w:t>
            </w:r>
          </w:p>
        </w:tc>
        <w:tc>
          <w:tcPr>
            <w:tcW w:w="5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(11,896)</w:t>
            </w:r>
          </w:p>
        </w:tc>
        <w:tc>
          <w:tcPr>
            <w:tcW w:w="58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(14,163)</w:t>
            </w:r>
          </w:p>
        </w:tc>
        <w:tc>
          <w:tcPr>
            <w:tcW w:w="48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51,632</w:t>
            </w: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0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Foreign currency</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0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translation</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adjustment, net of</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(451)</w:t>
            </w:r>
            <w:r>
              <w:rPr>
                <w:rFonts w:ascii="Times New Roman" w:cs="Times New Roman" w:eastAsia="Times New Roman" w:hAnsi="Times New Roman"/>
                <w:sz w:val="14"/>
                <w:szCs w:val="14"/>
                <w:color w:val="auto"/>
                <w:vertAlign w:val="superscript"/>
              </w:rPr>
              <w:t>(ii)</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auto"/>
                <w:w w:val="98"/>
              </w:rPr>
              <w:t>(1,742)</w:t>
            </w:r>
            <w:r>
              <w:rPr>
                <w:rFonts w:ascii="Times New Roman" w:cs="Times New Roman" w:eastAsia="Times New Roman" w:hAnsi="Times New Roman"/>
                <w:sz w:val="14"/>
                <w:szCs w:val="14"/>
                <w:color w:val="auto"/>
                <w:w w:val="98"/>
                <w:vertAlign w:val="superscript"/>
              </w:rPr>
              <w:t>(ii)</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14,324</w:t>
            </w:r>
            <w:r>
              <w:rPr>
                <w:rFonts w:ascii="Times New Roman" w:cs="Times New Roman" w:eastAsia="Times New Roman" w:hAnsi="Times New Roman"/>
                <w:sz w:val="14"/>
                <w:szCs w:val="14"/>
                <w:color w:val="auto"/>
                <w:vertAlign w:val="superscript"/>
              </w:rPr>
              <w:t>(ii)</w:t>
            </w:r>
          </w:p>
        </w:tc>
        <w:tc>
          <w:tcPr>
            <w:tcW w:w="0" w:type="dxa"/>
            <w:vAlign w:val="bottom"/>
          </w:tcPr>
          <w:p>
            <w:pPr>
              <w:spacing w:after="0"/>
              <w:rPr>
                <w:sz w:val="1"/>
                <w:szCs w:val="1"/>
                <w:color w:val="auto"/>
              </w:rPr>
            </w:pPr>
          </w:p>
        </w:tc>
      </w:tr>
      <w:tr>
        <w:trPr>
          <w:trHeight w:val="124"/>
        </w:trPr>
        <w:tc>
          <w:tcPr>
            <w:tcW w:w="9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tax</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(22,386)</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451</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continue"/>
          </w:tcPr>
          <w:p>
            <w:pPr>
              <w:spacing w:after="0"/>
              <w:rPr>
                <w:sz w:val="10"/>
                <w:szCs w:val="1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(22,386)</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(5,323)</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1,742</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continue"/>
          </w:tcPr>
          <w:p>
            <w:pPr>
              <w:spacing w:after="0"/>
              <w:rPr>
                <w:sz w:val="10"/>
                <w:szCs w:val="10"/>
                <w:color w:val="auto"/>
              </w:rPr>
            </w:pPr>
          </w:p>
        </w:tc>
        <w:tc>
          <w:tcPr>
            <w:tcW w:w="640" w:type="dxa"/>
            <w:vAlign w:val="bottom"/>
            <w:gridSpan w:val="2"/>
          </w:tcPr>
          <w:p>
            <w:pPr>
              <w:jc w:val="right"/>
              <w:ind w:right="54"/>
              <w:spacing w:after="0"/>
              <w:rPr>
                <w:sz w:val="20"/>
                <w:szCs w:val="20"/>
                <w:color w:val="auto"/>
              </w:rPr>
            </w:pPr>
            <w:r>
              <w:rPr>
                <w:rFonts w:ascii="Times New Roman" w:cs="Times New Roman" w:eastAsia="Times New Roman" w:hAnsi="Times New Roman"/>
                <w:sz w:val="10"/>
                <w:szCs w:val="10"/>
                <w:color w:val="auto"/>
              </w:rPr>
              <w:t>(5,323)</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9,600</w:t>
            </w:r>
          </w:p>
        </w:tc>
        <w:tc>
          <w:tcPr>
            <w:tcW w:w="100" w:type="dxa"/>
            <w:vAlign w:val="bottom"/>
          </w:tcPr>
          <w:p>
            <w:pPr>
              <w:spacing w:after="0"/>
              <w:rPr>
                <w:sz w:val="10"/>
                <w:szCs w:val="10"/>
                <w:color w:val="auto"/>
              </w:rPr>
            </w:pP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(14,324)</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0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income/(loss)</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(40,678)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(13,890)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(6,328)</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(6,326)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26,544</w:t>
            </w:r>
          </w:p>
        </w:tc>
        <w:tc>
          <w:tcPr>
            <w:tcW w:w="1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(40,678)</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(112,989)</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(101,203)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(77,296)</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(77,337)</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255,785</w:t>
            </w:r>
          </w:p>
        </w:tc>
        <w:tc>
          <w:tcPr>
            <w:tcW w:w="6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0"/>
                <w:szCs w:val="10"/>
                <w:color w:val="auto"/>
              </w:rPr>
              <w:t>(113,040)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(21,587)</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(42,450)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(11,896)</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(14,163)</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65,956</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90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0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income/(loss)</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0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(51)</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54"/>
              <w:spacing w:after="0"/>
              <w:rPr>
                <w:sz w:val="20"/>
                <w:szCs w:val="20"/>
                <w:color w:val="auto"/>
              </w:rPr>
            </w:pPr>
            <w:r>
              <w:rPr>
                <w:rFonts w:ascii="Times New Roman" w:cs="Times New Roman" w:eastAsia="Times New Roman" w:hAnsi="Times New Roman"/>
                <w:sz w:val="10"/>
                <w:szCs w:val="10"/>
                <w:color w:val="auto"/>
              </w:rPr>
              <w:t>(51)</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(2,553)</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5"/>
        </w:trPr>
        <w:tc>
          <w:tcPr>
            <w:tcW w:w="90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0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income/(loss)</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Huize Holding</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Limited</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(40,678)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(13,890)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(6,328)</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(6,326)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26,544</w:t>
            </w:r>
          </w:p>
        </w:tc>
        <w:tc>
          <w:tcPr>
            <w:tcW w:w="1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(40,678)</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(112,989)</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(101,203)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(77,296)</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(77,286)</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255,785</w:t>
            </w:r>
          </w:p>
        </w:tc>
        <w:tc>
          <w:tcPr>
            <w:tcW w:w="6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0"/>
                <w:szCs w:val="10"/>
                <w:color w:val="auto"/>
              </w:rPr>
              <w:t>(112,989)</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(21,587)</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(42,450)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(11,896)</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(11,610)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65,956</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-2623820</wp:posOffset>
            </wp:positionV>
            <wp:extent cx="1778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780" cy="762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-2042160</wp:posOffset>
            </wp:positionV>
            <wp:extent cx="1778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780" cy="762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-1238885</wp:posOffset>
            </wp:positionV>
            <wp:extent cx="1778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780" cy="762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-879475</wp:posOffset>
            </wp:positionV>
            <wp:extent cx="1778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780" cy="762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-6985</wp:posOffset>
            </wp:positionV>
            <wp:extent cx="1778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780" cy="762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-2715895</wp:posOffset>
            </wp:positionV>
            <wp:extent cx="1778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780" cy="762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92075</wp:posOffset>
            </wp:positionV>
            <wp:extent cx="68897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8975" cy="7620"/>
                    </a:xfrm>
                    <a:prstGeom prst="rect">
                      <a:avLst/>
                    </a:prstGeom>
                    <a:noFill/>
                  </pic:spPr>
                </pic:pic>
              </a:graphicData>
            </a:graphic>
          </wp:anchor>
        </w:drawing>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Note 1:</w:t>
      </w:r>
    </w:p>
    <w:p>
      <w:pPr>
        <w:spacing w:after="0" w:line="89" w:lineRule="exact"/>
        <w:rPr>
          <w:sz w:val="20"/>
          <w:szCs w:val="20"/>
          <w:color w:val="auto"/>
        </w:rPr>
      </w:pPr>
    </w:p>
    <w:p>
      <w:pPr>
        <w:ind w:left="1100" w:hanging="393"/>
        <w:spacing w:after="0"/>
        <w:tabs>
          <w:tab w:leader="none" w:pos="11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elimination represents equity pick-up of net profits and losses in the subsidiaries of the parent company, WFOE and the VIE and its subsidiaries.</w:t>
      </w:r>
    </w:p>
    <w:p>
      <w:pPr>
        <w:ind w:left="1100" w:hanging="393"/>
        <w:spacing w:after="0"/>
        <w:tabs>
          <w:tab w:leader="none" w:pos="11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elimination represents equity pick-up of other comprehensive income in the subsidiaries of the parent company.</w:t>
      </w:r>
    </w:p>
    <w:p>
      <w:pPr>
        <w:spacing w:after="0" w:line="1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p>
    <w:p>
      <w:pPr>
        <w:sectPr>
          <w:pgSz w:w="11900" w:h="16838" w:orient="portrait"/>
          <w:cols w:equalWidth="0" w:num="1">
            <w:col w:w="11340"/>
          </w:cols>
          <w:pgMar w:left="320" w:top="447"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Selected Condensed Consolidated Balance Sheets Information</w:t>
      </w:r>
    </w:p>
    <w:p>
      <w:pPr>
        <w:spacing w:after="0" w:line="224" w:lineRule="exact"/>
        <w:rPr>
          <w:sz w:val="20"/>
          <w:szCs w:val="20"/>
          <w:color w:val="auto"/>
        </w:rPr>
      </w:pPr>
    </w:p>
    <w:tbl>
      <w:tblPr>
        <w:tblLayout w:type="fixed"/>
        <w:tblInd w:w="700" w:type="dxa"/>
        <w:tblCellMar>
          <w:top w:w="0" w:type="dxa"/>
          <w:left w:w="0" w:type="dxa"/>
          <w:bottom w:w="0" w:type="dxa"/>
          <w:right w:w="0" w:type="dxa"/>
        </w:tblCellMar>
      </w:tblPr>
      <w:tr>
        <w:trPr>
          <w:trHeight w:val="155"/>
        </w:trPr>
        <w:tc>
          <w:tcPr>
            <w:tcW w:w="18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3"/>
                <w:szCs w:val="13"/>
                <w:b w:val="1"/>
                <w:bCs w:val="1"/>
                <w:color w:val="auto"/>
              </w:rPr>
              <w:t>As at December 31, 2021</w:t>
            </w:r>
          </w:p>
        </w:tc>
        <w:tc>
          <w:tcPr>
            <w:tcW w:w="6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As at December 31, 2022</w:t>
            </w: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40" w:type="dxa"/>
            <w:vAlign w:val="bottom"/>
          </w:tcPr>
          <w:p>
            <w:pPr>
              <w:spacing w:after="0"/>
              <w:rPr>
                <w:sz w:val="8"/>
                <w:szCs w:val="8"/>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Parent</w:t>
            </w:r>
          </w:p>
        </w:tc>
        <w:tc>
          <w:tcPr>
            <w:tcW w:w="800" w:type="dxa"/>
            <w:vAlign w:val="bottom"/>
            <w:gridSpan w:val="2"/>
          </w:tcPr>
          <w:p>
            <w:pPr>
              <w:jc w:val="center"/>
              <w:ind w:right="100"/>
              <w:spacing w:after="0" w:line="103" w:lineRule="exact"/>
              <w:rPr>
                <w:sz w:val="20"/>
                <w:szCs w:val="20"/>
                <w:color w:val="auto"/>
              </w:rPr>
            </w:pPr>
            <w:r>
              <w:rPr>
                <w:rFonts w:ascii="Times New Roman" w:cs="Times New Roman" w:eastAsia="Times New Roman" w:hAnsi="Times New Roman"/>
                <w:sz w:val="11"/>
                <w:szCs w:val="11"/>
                <w:b w:val="1"/>
                <w:bCs w:val="1"/>
                <w:color w:val="auto"/>
              </w:rPr>
              <w:t>Subsidiaries</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VIE and its</w:t>
            </w: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Elimination</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Parent</w:t>
            </w:r>
          </w:p>
        </w:tc>
        <w:tc>
          <w:tcPr>
            <w:tcW w:w="78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11"/>
                <w:szCs w:val="11"/>
                <w:b w:val="1"/>
                <w:bCs w:val="1"/>
                <w:color w:val="auto"/>
              </w:rPr>
              <w:t>Subsidiaries</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VIE and its</w:t>
            </w: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Elimination</w:t>
            </w: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3"/>
                <w:szCs w:val="13"/>
                <w:b w:val="1"/>
                <w:bCs w:val="1"/>
                <w:color w:val="auto"/>
                <w:w w:val="98"/>
              </w:rPr>
              <w:t>of parent</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WFOE</w:t>
            </w:r>
          </w:p>
        </w:tc>
        <w:tc>
          <w:tcPr>
            <w:tcW w:w="7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660" w:type="dxa"/>
            <w:vAlign w:val="bottom"/>
            <w:gridSpan w:val="2"/>
            <w:vMerge w:val="continue"/>
          </w:tcPr>
          <w:p>
            <w:pPr>
              <w:spacing w:after="0"/>
              <w:rPr>
                <w:sz w:val="11"/>
                <w:szCs w:val="11"/>
                <w:color w:val="auto"/>
              </w:rPr>
            </w:pPr>
          </w:p>
        </w:tc>
        <w:tc>
          <w:tcPr>
            <w:tcW w:w="78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3"/>
                <w:szCs w:val="13"/>
                <w:b w:val="1"/>
                <w:bCs w:val="1"/>
                <w:color w:val="auto"/>
                <w:w w:val="98"/>
              </w:rPr>
              <w:t>of parent</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WFOE</w:t>
            </w:r>
          </w:p>
        </w:tc>
        <w:tc>
          <w:tcPr>
            <w:tcW w:w="7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Consolid</w:t>
            </w: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company</w:t>
            </w:r>
          </w:p>
        </w:tc>
        <w:tc>
          <w:tcPr>
            <w:tcW w:w="80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3"/>
                <w:szCs w:val="13"/>
                <w:b w:val="1"/>
                <w:bCs w:val="1"/>
                <w:color w:val="auto"/>
                <w:w w:val="99"/>
              </w:rPr>
              <w:t>Company</w:t>
            </w:r>
          </w:p>
        </w:tc>
        <w:tc>
          <w:tcPr>
            <w:tcW w:w="640" w:type="dxa"/>
            <w:vAlign w:val="bottom"/>
            <w:gridSpan w:val="2"/>
            <w:vMerge w:val="continue"/>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subsidiaries</w:t>
            </w:r>
          </w:p>
        </w:tc>
        <w:tc>
          <w:tcPr>
            <w:tcW w:w="90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3"/>
                <w:szCs w:val="13"/>
                <w:b w:val="1"/>
                <w:bCs w:val="1"/>
                <w:color w:val="auto"/>
              </w:rPr>
              <w:t>(Note 2)</w:t>
            </w:r>
          </w:p>
        </w:tc>
        <w:tc>
          <w:tcPr>
            <w:tcW w:w="820" w:type="dxa"/>
            <w:vAlign w:val="bottom"/>
            <w:gridSpan w:val="2"/>
            <w:vMerge w:val="continue"/>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company</w:t>
            </w:r>
          </w:p>
        </w:tc>
        <w:tc>
          <w:tcPr>
            <w:tcW w:w="78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3"/>
                <w:szCs w:val="13"/>
                <w:b w:val="1"/>
                <w:bCs w:val="1"/>
                <w:color w:val="auto"/>
                <w:w w:val="95"/>
              </w:rPr>
              <w:t>Company</w:t>
            </w:r>
          </w:p>
        </w:tc>
        <w:tc>
          <w:tcPr>
            <w:tcW w:w="660" w:type="dxa"/>
            <w:vAlign w:val="bottom"/>
            <w:gridSpan w:val="2"/>
            <w:vMerge w:val="continue"/>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subsidiaries</w:t>
            </w:r>
          </w:p>
        </w:tc>
        <w:tc>
          <w:tcPr>
            <w:tcW w:w="88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3"/>
                <w:szCs w:val="13"/>
                <w:b w:val="1"/>
                <w:bCs w:val="1"/>
                <w:color w:val="auto"/>
              </w:rPr>
              <w:t>(Note 2)</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5"/>
              </w:rPr>
              <w:t>RMB’000</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RMB’000</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5"/>
              </w:rPr>
              <w:t>RMB’000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RMB’000</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RMB’000</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RMB’000</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5"/>
              </w:rPr>
              <w:t>RMB’000</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RMB’000</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5"/>
              </w:rPr>
              <w:t>RMB’000</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RMB’000</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RMB’000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RMB’0</w:t>
            </w:r>
          </w:p>
        </w:tc>
        <w:tc>
          <w:tcPr>
            <w:tcW w:w="0" w:type="dxa"/>
            <w:vAlign w:val="bottom"/>
          </w:tcPr>
          <w:p>
            <w:pPr>
              <w:spacing w:after="0"/>
              <w:rPr>
                <w:sz w:val="1"/>
                <w:szCs w:val="1"/>
                <w:color w:val="auto"/>
              </w:rPr>
            </w:pPr>
          </w:p>
        </w:tc>
      </w:tr>
      <w:tr>
        <w:trPr>
          <w:trHeight w:val="113"/>
        </w:trPr>
        <w:tc>
          <w:tcPr>
            <w:tcW w:w="184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Assets</w:t>
            </w: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Current assets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Cash and cash equivalent</w:t>
            </w:r>
          </w:p>
        </w:tc>
        <w:tc>
          <w:tcPr>
            <w:tcW w:w="6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16,291</w:t>
            </w:r>
          </w:p>
        </w:tc>
        <w:tc>
          <w:tcPr>
            <w:tcW w:w="8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34,783</w:t>
            </w:r>
          </w:p>
        </w:tc>
        <w:tc>
          <w:tcPr>
            <w:tcW w:w="6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7,073</w:t>
            </w:r>
          </w:p>
        </w:tc>
        <w:tc>
          <w:tcPr>
            <w:tcW w:w="7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323,011</w:t>
            </w:r>
          </w:p>
        </w:tc>
        <w:tc>
          <w:tcPr>
            <w:tcW w:w="90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381,158</w:t>
            </w:r>
          </w:p>
        </w:tc>
        <w:tc>
          <w:tcPr>
            <w:tcW w:w="6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5,613</w:t>
            </w:r>
          </w:p>
        </w:tc>
        <w:tc>
          <w:tcPr>
            <w:tcW w:w="78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65,124</w:t>
            </w:r>
          </w:p>
        </w:tc>
        <w:tc>
          <w:tcPr>
            <w:tcW w:w="66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650</w:t>
            </w:r>
          </w:p>
        </w:tc>
        <w:tc>
          <w:tcPr>
            <w:tcW w:w="7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205,781</w:t>
            </w:r>
          </w:p>
        </w:tc>
        <w:tc>
          <w:tcPr>
            <w:tcW w:w="880" w:type="dxa"/>
            <w:vAlign w:val="bottom"/>
            <w:gridSpan w:val="2"/>
            <w:shd w:val="clear" w:color="auto" w:fill="CCEEFF"/>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277</w:t>
            </w: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Restricted cash</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56,093</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127,315</w:t>
            </w:r>
          </w:p>
        </w:tc>
        <w:tc>
          <w:tcPr>
            <w:tcW w:w="900" w:type="dxa"/>
            <w:vAlign w:val="bottom"/>
            <w:gridSpan w:val="2"/>
          </w:tcPr>
          <w:p>
            <w:pPr>
              <w:jc w:val="right"/>
              <w:ind w:right="3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183,408</w:t>
            </w:r>
          </w:p>
        </w:tc>
        <w:tc>
          <w:tcPr>
            <w:tcW w:w="660" w:type="dxa"/>
            <w:vAlign w:val="bottom"/>
            <w:gridSpan w:val="2"/>
          </w:tcPr>
          <w:p>
            <w:pPr>
              <w:ind w:left="3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43,459</w:t>
            </w:r>
          </w:p>
        </w:tc>
        <w:tc>
          <w:tcPr>
            <w:tcW w:w="66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55,458</w:t>
            </w:r>
          </w:p>
        </w:tc>
        <w:tc>
          <w:tcPr>
            <w:tcW w:w="880" w:type="dxa"/>
            <w:vAlign w:val="bottom"/>
            <w:gridSpan w:val="2"/>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98</w:t>
            </w:r>
          </w:p>
        </w:tc>
        <w:tc>
          <w:tcPr>
            <w:tcW w:w="0" w:type="dxa"/>
            <w:vAlign w:val="bottom"/>
          </w:tcPr>
          <w:p>
            <w:pPr>
              <w:spacing w:after="0"/>
              <w:rPr>
                <w:sz w:val="1"/>
                <w:szCs w:val="1"/>
                <w:color w:val="auto"/>
              </w:rPr>
            </w:pPr>
          </w:p>
        </w:tc>
      </w:tr>
      <w:tr>
        <w:trPr>
          <w:trHeight w:val="113"/>
        </w:trPr>
        <w:tc>
          <w:tcPr>
            <w:tcW w:w="18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Contract Assets, net of allowance</w:t>
            </w:r>
          </w:p>
        </w:tc>
        <w:tc>
          <w:tcPr>
            <w:tcW w:w="6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49,888</w:t>
            </w:r>
          </w:p>
        </w:tc>
        <w:tc>
          <w:tcPr>
            <w:tcW w:w="8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 doubtful accounts</w:t>
            </w:r>
          </w:p>
        </w:tc>
        <w:tc>
          <w:tcPr>
            <w:tcW w:w="64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84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Accounts receivable, net of</w:t>
            </w:r>
          </w:p>
        </w:tc>
        <w:tc>
          <w:tcPr>
            <w:tcW w:w="6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20" w:type="dxa"/>
            <w:vAlign w:val="bottom"/>
          </w:tcPr>
          <w:p>
            <w:pPr>
              <w:spacing w:after="0"/>
              <w:rPr>
                <w:sz w:val="9"/>
                <w:szCs w:val="9"/>
                <w:color w:val="auto"/>
              </w:rPr>
            </w:pPr>
          </w:p>
        </w:tc>
        <w:tc>
          <w:tcPr>
            <w:tcW w:w="6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777,055</w:t>
            </w: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777,262</w:t>
            </w: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auto"/>
              </w:rPr>
              <w:t>429</w:t>
            </w: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250,238</w:t>
            </w:r>
          </w:p>
        </w:tc>
        <w:tc>
          <w:tcPr>
            <w:tcW w:w="8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153"/>
        </w:trPr>
        <w:tc>
          <w:tcPr>
            <w:tcW w:w="1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allowance for impairment</w:t>
            </w:r>
          </w:p>
        </w:tc>
        <w:tc>
          <w:tcPr>
            <w:tcW w:w="64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Insurance premium receivables</w:t>
            </w:r>
          </w:p>
        </w:tc>
        <w:tc>
          <w:tcPr>
            <w:tcW w:w="64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1,217</w:t>
            </w:r>
          </w:p>
        </w:tc>
        <w:tc>
          <w:tcPr>
            <w:tcW w:w="90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1,217</w:t>
            </w:r>
          </w:p>
        </w:tc>
        <w:tc>
          <w:tcPr>
            <w:tcW w:w="660" w:type="dxa"/>
            <w:vAlign w:val="bottom"/>
            <w:gridSpan w:val="2"/>
            <w:shd w:val="clear" w:color="auto" w:fill="CCEEFF"/>
          </w:tcPr>
          <w:p>
            <w:pPr>
              <w:ind w:left="3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1,792</w:t>
            </w:r>
          </w:p>
        </w:tc>
        <w:tc>
          <w:tcPr>
            <w:tcW w:w="880" w:type="dxa"/>
            <w:vAlign w:val="bottom"/>
            <w:gridSpan w:val="2"/>
            <w:shd w:val="clear" w:color="auto" w:fill="CCEEFF"/>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Amount due from related parties</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106</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1"/>
                <w:szCs w:val="11"/>
                <w:color w:val="auto"/>
              </w:rPr>
            </w:pP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3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128</w:t>
            </w:r>
          </w:p>
        </w:tc>
        <w:tc>
          <w:tcPr>
            <w:tcW w:w="660" w:type="dxa"/>
            <w:vAlign w:val="bottom"/>
            <w:gridSpan w:val="2"/>
          </w:tcPr>
          <w:p>
            <w:pPr>
              <w:ind w:left="360"/>
              <w:spacing w:after="0" w:line="133" w:lineRule="exact"/>
              <w:rPr>
                <w:sz w:val="20"/>
                <w:szCs w:val="20"/>
                <w:color w:val="auto"/>
              </w:rPr>
            </w:pPr>
            <w:r>
              <w:rPr>
                <w:rFonts w:ascii="Times New Roman" w:cs="Times New Roman" w:eastAsia="Times New Roman" w:hAnsi="Times New Roman"/>
                <w:sz w:val="13"/>
                <w:szCs w:val="13"/>
                <w:color w:val="auto"/>
              </w:rPr>
              <w:t>149</w:t>
            </w:r>
          </w:p>
        </w:tc>
        <w:tc>
          <w:tcPr>
            <w:tcW w:w="78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340</w:t>
            </w:r>
          </w:p>
        </w:tc>
        <w:tc>
          <w:tcPr>
            <w:tcW w:w="880" w:type="dxa"/>
            <w:vAlign w:val="bottom"/>
            <w:gridSpan w:val="2"/>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8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Prepaid expense and other</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291,666</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2,812</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128,000</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106,865</w:t>
            </w:r>
          </w:p>
        </w:tc>
        <w:tc>
          <w:tcPr>
            <w:tcW w:w="9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(451,832)</w:t>
            </w:r>
            <w:r>
              <w:rPr>
                <w:rFonts w:ascii="Times New Roman" w:cs="Times New Roman" w:eastAsia="Times New Roman" w:hAnsi="Times New Roman"/>
                <w:sz w:val="9"/>
                <w:szCs w:val="9"/>
                <w:color w:val="auto"/>
              </w:rPr>
              <w:t>(i)</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77,511</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316,172</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641</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129,005</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96,987</w:t>
            </w:r>
          </w:p>
        </w:tc>
        <w:tc>
          <w:tcPr>
            <w:tcW w:w="8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(470,987)</w:t>
            </w:r>
            <w:r>
              <w:rPr>
                <w:rFonts w:ascii="Times New Roman" w:cs="Times New Roman" w:eastAsia="Times New Roman" w:hAnsi="Times New Roman"/>
                <w:sz w:val="9"/>
                <w:szCs w:val="9"/>
                <w:color w:val="auto"/>
              </w:rPr>
              <w:t>(i)</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receivables</w:t>
            </w:r>
          </w:p>
        </w:tc>
        <w:tc>
          <w:tcPr>
            <w:tcW w:w="64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8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64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308,063</w:t>
            </w:r>
          </w:p>
        </w:tc>
        <w:tc>
          <w:tcPr>
            <w:tcW w:w="8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93,917</w:t>
            </w:r>
          </w:p>
        </w:tc>
        <w:tc>
          <w:tcPr>
            <w:tcW w:w="64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135,073</w:t>
            </w:r>
          </w:p>
        </w:tc>
        <w:tc>
          <w:tcPr>
            <w:tcW w:w="7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1,335,463</w:t>
            </w:r>
          </w:p>
        </w:tc>
        <w:tc>
          <w:tcPr>
            <w:tcW w:w="90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3"/>
                <w:szCs w:val="13"/>
                <w:color w:val="auto"/>
              </w:rPr>
              <w:t>(451,832)</w:t>
            </w:r>
          </w:p>
        </w:tc>
        <w:tc>
          <w:tcPr>
            <w:tcW w:w="8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1,420,684</w:t>
            </w:r>
          </w:p>
        </w:tc>
        <w:tc>
          <w:tcPr>
            <w:tcW w:w="6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321,934</w:t>
            </w:r>
          </w:p>
        </w:tc>
        <w:tc>
          <w:tcPr>
            <w:tcW w:w="78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109,653</w:t>
            </w:r>
          </w:p>
        </w:tc>
        <w:tc>
          <w:tcPr>
            <w:tcW w:w="6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129,655</w:t>
            </w: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660,484</w:t>
            </w:r>
          </w:p>
        </w:tc>
        <w:tc>
          <w:tcPr>
            <w:tcW w:w="880" w:type="dxa"/>
            <w:vAlign w:val="bottom"/>
            <w:gridSpan w:val="2"/>
          </w:tcPr>
          <w:p>
            <w:pPr>
              <w:ind w:left="180"/>
              <w:spacing w:after="0" w:line="133" w:lineRule="exact"/>
              <w:rPr>
                <w:sz w:val="20"/>
                <w:szCs w:val="20"/>
                <w:color w:val="auto"/>
              </w:rPr>
            </w:pPr>
            <w:r>
              <w:rPr>
                <w:rFonts w:ascii="Times New Roman" w:cs="Times New Roman" w:eastAsia="Times New Roman" w:hAnsi="Times New Roman"/>
                <w:sz w:val="13"/>
                <w:szCs w:val="13"/>
                <w:color w:val="auto"/>
              </w:rPr>
              <w:t>(470,987)</w:t>
            </w: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750</w:t>
            </w:r>
          </w:p>
        </w:tc>
        <w:tc>
          <w:tcPr>
            <w:tcW w:w="0" w:type="dxa"/>
            <w:vAlign w:val="bottom"/>
          </w:tcPr>
          <w:p>
            <w:pPr>
              <w:spacing w:after="0"/>
              <w:rPr>
                <w:sz w:val="1"/>
                <w:szCs w:val="1"/>
                <w:color w:val="auto"/>
              </w:rPr>
            </w:pPr>
          </w:p>
        </w:tc>
      </w:tr>
      <w:tr>
        <w:trPr>
          <w:trHeight w:val="133"/>
        </w:trPr>
        <w:tc>
          <w:tcPr>
            <w:tcW w:w="1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Non-current assets</w:t>
            </w: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Restricted cash</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19,738</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24,680</w:t>
            </w:r>
          </w:p>
        </w:tc>
        <w:tc>
          <w:tcPr>
            <w:tcW w:w="900" w:type="dxa"/>
            <w:vAlign w:val="bottom"/>
            <w:gridSpan w:val="2"/>
          </w:tcPr>
          <w:p>
            <w:pPr>
              <w:jc w:val="right"/>
              <w:ind w:right="3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44,418</w:t>
            </w:r>
          </w:p>
        </w:tc>
        <w:tc>
          <w:tcPr>
            <w:tcW w:w="660" w:type="dxa"/>
            <w:vAlign w:val="bottom"/>
            <w:gridSpan w:val="2"/>
          </w:tcPr>
          <w:p>
            <w:pPr>
              <w:ind w:left="3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8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Property, Plant and Equipment,</w:t>
            </w:r>
          </w:p>
        </w:tc>
        <w:tc>
          <w:tcPr>
            <w:tcW w:w="6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47,800</w:t>
            </w:r>
          </w:p>
        </w:tc>
        <w:tc>
          <w:tcPr>
            <w:tcW w:w="9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48,461</w:t>
            </w: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385</w:t>
            </w: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38,133</w:t>
            </w:r>
          </w:p>
        </w:tc>
        <w:tc>
          <w:tcPr>
            <w:tcW w:w="8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w:t>
            </w:r>
          </w:p>
        </w:tc>
        <w:tc>
          <w:tcPr>
            <w:tcW w:w="64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Intangible assets, net</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2,647</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18,979</w:t>
            </w:r>
          </w:p>
        </w:tc>
        <w:tc>
          <w:tcPr>
            <w:tcW w:w="900" w:type="dxa"/>
            <w:vAlign w:val="bottom"/>
            <w:gridSpan w:val="2"/>
          </w:tcPr>
          <w:p>
            <w:pPr>
              <w:jc w:val="right"/>
              <w:ind w:right="3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21,626</w:t>
            </w:r>
          </w:p>
        </w:tc>
        <w:tc>
          <w:tcPr>
            <w:tcW w:w="660" w:type="dxa"/>
            <w:vAlign w:val="bottom"/>
            <w:gridSpan w:val="2"/>
          </w:tcPr>
          <w:p>
            <w:pPr>
              <w:ind w:left="3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2,647</w:t>
            </w:r>
          </w:p>
        </w:tc>
        <w:tc>
          <w:tcPr>
            <w:tcW w:w="66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50,851</w:t>
            </w:r>
          </w:p>
        </w:tc>
        <w:tc>
          <w:tcPr>
            <w:tcW w:w="880" w:type="dxa"/>
            <w:vAlign w:val="bottom"/>
            <w:gridSpan w:val="2"/>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33"/>
        </w:trPr>
        <w:tc>
          <w:tcPr>
            <w:tcW w:w="1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Deferred tax assets</w:t>
            </w:r>
          </w:p>
        </w:tc>
        <w:tc>
          <w:tcPr>
            <w:tcW w:w="64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605</w:t>
            </w:r>
          </w:p>
        </w:tc>
        <w:tc>
          <w:tcPr>
            <w:tcW w:w="90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605</w:t>
            </w:r>
          </w:p>
        </w:tc>
        <w:tc>
          <w:tcPr>
            <w:tcW w:w="660" w:type="dxa"/>
            <w:vAlign w:val="bottom"/>
            <w:gridSpan w:val="2"/>
            <w:shd w:val="clear" w:color="auto" w:fill="CCEEFF"/>
          </w:tcPr>
          <w:p>
            <w:pPr>
              <w:ind w:left="3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Long-term investments</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13,551</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59,450</w:t>
            </w:r>
          </w:p>
        </w:tc>
        <w:tc>
          <w:tcPr>
            <w:tcW w:w="900" w:type="dxa"/>
            <w:vAlign w:val="bottom"/>
            <w:gridSpan w:val="2"/>
          </w:tcPr>
          <w:p>
            <w:pPr>
              <w:jc w:val="right"/>
              <w:ind w:right="3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73,001</w:t>
            </w:r>
          </w:p>
        </w:tc>
        <w:tc>
          <w:tcPr>
            <w:tcW w:w="660" w:type="dxa"/>
            <w:vAlign w:val="bottom"/>
            <w:gridSpan w:val="2"/>
          </w:tcPr>
          <w:p>
            <w:pPr>
              <w:ind w:left="3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11,055</w:t>
            </w:r>
          </w:p>
        </w:tc>
        <w:tc>
          <w:tcPr>
            <w:tcW w:w="66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66,250</w:t>
            </w:r>
          </w:p>
        </w:tc>
        <w:tc>
          <w:tcPr>
            <w:tcW w:w="880" w:type="dxa"/>
            <w:vAlign w:val="bottom"/>
            <w:gridSpan w:val="2"/>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33"/>
        </w:trPr>
        <w:tc>
          <w:tcPr>
            <w:tcW w:w="1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Investment in subsidiaries</w:t>
            </w:r>
          </w:p>
        </w:tc>
        <w:tc>
          <w:tcPr>
            <w:tcW w:w="6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76,030</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239,113</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3"/>
                <w:szCs w:val="13"/>
                <w:color w:val="auto"/>
              </w:rPr>
              <w:t>(315,143)</w:t>
            </w:r>
            <w:r>
              <w:rPr>
                <w:rFonts w:ascii="Times New Roman" w:cs="Times New Roman" w:eastAsia="Times New Roman" w:hAnsi="Times New Roman"/>
                <w:sz w:val="9"/>
                <w:szCs w:val="9"/>
                <w:color w:val="auto"/>
              </w:rPr>
              <w:t>(ii)</w:t>
            </w:r>
          </w:p>
        </w:tc>
        <w:tc>
          <w:tcPr>
            <w:tcW w:w="820" w:type="dxa"/>
            <w:vAlign w:val="bottom"/>
            <w:gridSpan w:val="2"/>
            <w:shd w:val="clear" w:color="auto" w:fill="CCEEFF"/>
          </w:tcPr>
          <w:p>
            <w:pPr>
              <w:ind w:left="5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44,307</w:t>
            </w:r>
          </w:p>
        </w:tc>
        <w:tc>
          <w:tcPr>
            <w:tcW w:w="78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237,613</w:t>
            </w:r>
          </w:p>
        </w:tc>
        <w:tc>
          <w:tcPr>
            <w:tcW w:w="66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(281,920)</w:t>
            </w:r>
            <w:r>
              <w:rPr>
                <w:rFonts w:ascii="Times New Roman" w:cs="Times New Roman" w:eastAsia="Times New Roman" w:hAnsi="Times New Roman"/>
                <w:sz w:val="9"/>
                <w:szCs w:val="9"/>
                <w:color w:val="auto"/>
              </w:rPr>
              <w:t>(ii)</w:t>
            </w: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Investment in VIE</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109,172</w:t>
            </w:r>
          </w:p>
        </w:tc>
        <w:tc>
          <w:tcPr>
            <w:tcW w:w="76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3"/>
                <w:szCs w:val="13"/>
                <w:color w:val="auto"/>
              </w:rPr>
              <w:t>(109,172)</w:t>
            </w:r>
            <w:r>
              <w:rPr>
                <w:rFonts w:ascii="Times New Roman" w:cs="Times New Roman" w:eastAsia="Times New Roman" w:hAnsi="Times New Roman"/>
                <w:sz w:val="9"/>
                <w:szCs w:val="9"/>
                <w:color w:val="auto"/>
              </w:rPr>
              <w:t>(ii)</w:t>
            </w:r>
          </w:p>
        </w:tc>
        <w:tc>
          <w:tcPr>
            <w:tcW w:w="820" w:type="dxa"/>
            <w:vAlign w:val="bottom"/>
            <w:gridSpan w:val="2"/>
          </w:tcPr>
          <w:p>
            <w:pPr>
              <w:ind w:left="5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3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107,958</w:t>
            </w:r>
          </w:p>
        </w:tc>
        <w:tc>
          <w:tcPr>
            <w:tcW w:w="7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180"/>
              <w:spacing w:after="0" w:line="133" w:lineRule="exact"/>
              <w:rPr>
                <w:sz w:val="20"/>
                <w:szCs w:val="20"/>
                <w:color w:val="auto"/>
              </w:rPr>
            </w:pPr>
            <w:r>
              <w:rPr>
                <w:rFonts w:ascii="Times New Roman" w:cs="Times New Roman" w:eastAsia="Times New Roman" w:hAnsi="Times New Roman"/>
                <w:sz w:val="13"/>
                <w:szCs w:val="13"/>
                <w:color w:val="auto"/>
              </w:rPr>
              <w:t>(107,958)</w:t>
            </w:r>
            <w:r>
              <w:rPr>
                <w:rFonts w:ascii="Times New Roman" w:cs="Times New Roman" w:eastAsia="Times New Roman" w:hAnsi="Times New Roman"/>
                <w:sz w:val="9"/>
                <w:szCs w:val="9"/>
                <w:color w:val="auto"/>
              </w:rPr>
              <w:t>(ii)</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8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Operating lease right-of-use</w:t>
            </w:r>
          </w:p>
        </w:tc>
        <w:tc>
          <w:tcPr>
            <w:tcW w:w="6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5,939</w:t>
            </w:r>
          </w:p>
        </w:tc>
        <w:tc>
          <w:tcPr>
            <w:tcW w:w="6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241,880</w:t>
            </w:r>
          </w:p>
        </w:tc>
        <w:tc>
          <w:tcPr>
            <w:tcW w:w="9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247,819</w:t>
            </w: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162,180</w:t>
            </w:r>
          </w:p>
        </w:tc>
        <w:tc>
          <w:tcPr>
            <w:tcW w:w="8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assets</w:t>
            </w:r>
          </w:p>
        </w:tc>
        <w:tc>
          <w:tcPr>
            <w:tcW w:w="64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Goodwill</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461</w:t>
            </w:r>
          </w:p>
        </w:tc>
        <w:tc>
          <w:tcPr>
            <w:tcW w:w="900" w:type="dxa"/>
            <w:vAlign w:val="bottom"/>
            <w:gridSpan w:val="2"/>
          </w:tcPr>
          <w:p>
            <w:pPr>
              <w:jc w:val="right"/>
              <w:ind w:right="3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461</w:t>
            </w:r>
          </w:p>
        </w:tc>
        <w:tc>
          <w:tcPr>
            <w:tcW w:w="660" w:type="dxa"/>
            <w:vAlign w:val="bottom"/>
            <w:gridSpan w:val="2"/>
          </w:tcPr>
          <w:p>
            <w:pPr>
              <w:ind w:left="3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461</w:t>
            </w:r>
          </w:p>
        </w:tc>
        <w:tc>
          <w:tcPr>
            <w:tcW w:w="880" w:type="dxa"/>
            <w:vAlign w:val="bottom"/>
            <w:gridSpan w:val="2"/>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8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Contract Assets, net of allowance</w:t>
            </w:r>
          </w:p>
        </w:tc>
        <w:tc>
          <w:tcPr>
            <w:tcW w:w="6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6,634</w:t>
            </w:r>
          </w:p>
        </w:tc>
        <w:tc>
          <w:tcPr>
            <w:tcW w:w="8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 doubtful accounts</w:t>
            </w:r>
          </w:p>
        </w:tc>
        <w:tc>
          <w:tcPr>
            <w:tcW w:w="64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Other Assets</w:t>
            </w:r>
          </w:p>
        </w:tc>
        <w:tc>
          <w:tcPr>
            <w:tcW w:w="540" w:type="dxa"/>
            <w:vAlign w:val="bottom"/>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379</w:t>
            </w:r>
          </w:p>
        </w:tc>
        <w:tc>
          <w:tcPr>
            <w:tcW w:w="100" w:type="dxa"/>
            <w:vAlign w:val="bottom"/>
          </w:tcPr>
          <w:p>
            <w:pPr>
              <w:spacing w:after="0"/>
              <w:rPr>
                <w:sz w:val="11"/>
                <w:szCs w:val="11"/>
                <w:color w:val="auto"/>
              </w:rPr>
            </w:pPr>
          </w:p>
        </w:tc>
        <w:tc>
          <w:tcPr>
            <w:tcW w:w="66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379</w:t>
            </w:r>
          </w:p>
        </w:tc>
        <w:tc>
          <w:tcPr>
            <w:tcW w:w="100" w:type="dxa"/>
            <w:vAlign w:val="bottom"/>
          </w:tcPr>
          <w:p>
            <w:pPr>
              <w:spacing w:after="0"/>
              <w:rPr>
                <w:sz w:val="11"/>
                <w:szCs w:val="11"/>
                <w:color w:val="auto"/>
              </w:rPr>
            </w:pPr>
          </w:p>
        </w:tc>
        <w:tc>
          <w:tcPr>
            <w:tcW w:w="540" w:type="dxa"/>
            <w:vAlign w:val="bottom"/>
          </w:tcPr>
          <w:p>
            <w:pPr>
              <w:ind w:left="3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279</w:t>
            </w:r>
          </w:p>
        </w:tc>
        <w:tc>
          <w:tcPr>
            <w:tcW w:w="880" w:type="dxa"/>
            <w:vAlign w:val="bottom"/>
            <w:gridSpan w:val="2"/>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18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6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76,030</w:t>
            </w:r>
          </w:p>
        </w:tc>
        <w:tc>
          <w:tcPr>
            <w:tcW w:w="8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281,649</w:t>
            </w:r>
          </w:p>
        </w:tc>
        <w:tc>
          <w:tcPr>
            <w:tcW w:w="6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109,172</w:t>
            </w:r>
          </w:p>
        </w:tc>
        <w:tc>
          <w:tcPr>
            <w:tcW w:w="7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394,234</w:t>
            </w:r>
          </w:p>
        </w:tc>
        <w:tc>
          <w:tcPr>
            <w:tcW w:w="900" w:type="dxa"/>
            <w:vAlign w:val="bottom"/>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3"/>
                <w:szCs w:val="13"/>
                <w:color w:val="auto"/>
              </w:rPr>
              <w:t>(424,315)</w:t>
            </w:r>
          </w:p>
        </w:tc>
        <w:tc>
          <w:tcPr>
            <w:tcW w:w="82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436,770</w:t>
            </w:r>
          </w:p>
        </w:tc>
        <w:tc>
          <w:tcPr>
            <w:tcW w:w="6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44,307</w:t>
            </w:r>
          </w:p>
        </w:tc>
        <w:tc>
          <w:tcPr>
            <w:tcW w:w="78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251,700</w:t>
            </w:r>
          </w:p>
        </w:tc>
        <w:tc>
          <w:tcPr>
            <w:tcW w:w="6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107,958</w:t>
            </w:r>
          </w:p>
        </w:tc>
        <w:tc>
          <w:tcPr>
            <w:tcW w:w="7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324,788</w:t>
            </w:r>
          </w:p>
        </w:tc>
        <w:tc>
          <w:tcPr>
            <w:tcW w:w="880" w:type="dxa"/>
            <w:vAlign w:val="bottom"/>
            <w:gridSpan w:val="2"/>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(389,878)</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338</w:t>
            </w:r>
          </w:p>
        </w:tc>
        <w:tc>
          <w:tcPr>
            <w:tcW w:w="0" w:type="dxa"/>
            <w:vAlign w:val="bottom"/>
          </w:tcPr>
          <w:p>
            <w:pPr>
              <w:spacing w:after="0"/>
              <w:rPr>
                <w:sz w:val="1"/>
                <w:szCs w:val="1"/>
                <w:color w:val="auto"/>
              </w:rPr>
            </w:pPr>
          </w:p>
        </w:tc>
      </w:tr>
      <w:tr>
        <w:trPr>
          <w:trHeight w:val="137"/>
        </w:trPr>
        <w:tc>
          <w:tcPr>
            <w:tcW w:w="1840" w:type="dxa"/>
            <w:vAlign w:val="bottom"/>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54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384,093</w:t>
            </w:r>
          </w:p>
        </w:tc>
        <w:tc>
          <w:tcPr>
            <w:tcW w:w="1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375,566</w:t>
            </w:r>
          </w:p>
        </w:tc>
        <w:tc>
          <w:tcPr>
            <w:tcW w:w="1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244,245</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1,729,697</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ind w:left="200"/>
              <w:spacing w:after="0" w:line="137" w:lineRule="exact"/>
              <w:rPr>
                <w:sz w:val="20"/>
                <w:szCs w:val="20"/>
                <w:color w:val="auto"/>
              </w:rPr>
            </w:pPr>
            <w:r>
              <w:rPr>
                <w:rFonts w:ascii="Times New Roman" w:cs="Times New Roman" w:eastAsia="Times New Roman" w:hAnsi="Times New Roman"/>
                <w:sz w:val="13"/>
                <w:szCs w:val="13"/>
                <w:color w:val="auto"/>
                <w:w w:val="86"/>
              </w:rPr>
              <w:t>(876,147)</w:t>
            </w:r>
          </w:p>
        </w:tc>
        <w:tc>
          <w:tcPr>
            <w:tcW w:w="24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1,857,454</w:t>
            </w:r>
          </w:p>
        </w:tc>
        <w:tc>
          <w:tcPr>
            <w:tcW w:w="10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366,241</w:t>
            </w:r>
          </w:p>
        </w:tc>
        <w:tc>
          <w:tcPr>
            <w:tcW w:w="1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361,353</w:t>
            </w:r>
          </w:p>
        </w:tc>
        <w:tc>
          <w:tcPr>
            <w:tcW w:w="10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237,613</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985,272</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ind w:left="180"/>
              <w:spacing w:after="0" w:line="137" w:lineRule="exact"/>
              <w:rPr>
                <w:sz w:val="20"/>
                <w:szCs w:val="20"/>
                <w:color w:val="auto"/>
              </w:rPr>
            </w:pPr>
            <w:r>
              <w:rPr>
                <w:rFonts w:ascii="Times New Roman" w:cs="Times New Roman" w:eastAsia="Times New Roman" w:hAnsi="Times New Roman"/>
                <w:sz w:val="13"/>
                <w:szCs w:val="13"/>
                <w:color w:val="auto"/>
                <w:w w:val="86"/>
              </w:rPr>
              <w:t>(860,865)</w:t>
            </w:r>
          </w:p>
        </w:tc>
        <w:tc>
          <w:tcPr>
            <w:tcW w:w="24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1,089</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8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Liabilities, and Shareholders’</w:t>
            </w: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Short-term borrowings</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216,710</w:t>
            </w:r>
          </w:p>
        </w:tc>
        <w:tc>
          <w:tcPr>
            <w:tcW w:w="900" w:type="dxa"/>
            <w:vAlign w:val="bottom"/>
            <w:gridSpan w:val="2"/>
          </w:tcPr>
          <w:p>
            <w:pPr>
              <w:jc w:val="right"/>
              <w:ind w:right="3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216,710</w:t>
            </w:r>
          </w:p>
        </w:tc>
        <w:tc>
          <w:tcPr>
            <w:tcW w:w="660" w:type="dxa"/>
            <w:vAlign w:val="bottom"/>
            <w:gridSpan w:val="2"/>
          </w:tcPr>
          <w:p>
            <w:pPr>
              <w:ind w:left="3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150,000</w:t>
            </w:r>
          </w:p>
        </w:tc>
        <w:tc>
          <w:tcPr>
            <w:tcW w:w="880" w:type="dxa"/>
            <w:vAlign w:val="bottom"/>
            <w:gridSpan w:val="2"/>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33"/>
        </w:trPr>
        <w:tc>
          <w:tcPr>
            <w:tcW w:w="1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Accounts payable</w:t>
            </w:r>
          </w:p>
        </w:tc>
        <w:tc>
          <w:tcPr>
            <w:tcW w:w="64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186</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680,183</w:t>
            </w:r>
          </w:p>
        </w:tc>
        <w:tc>
          <w:tcPr>
            <w:tcW w:w="90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680,369</w:t>
            </w:r>
          </w:p>
        </w:tc>
        <w:tc>
          <w:tcPr>
            <w:tcW w:w="660" w:type="dxa"/>
            <w:vAlign w:val="bottom"/>
            <w:gridSpan w:val="2"/>
            <w:shd w:val="clear" w:color="auto" w:fill="CCEEFF"/>
          </w:tcPr>
          <w:p>
            <w:pPr>
              <w:ind w:left="3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80"/>
              <w:spacing w:after="0" w:line="133" w:lineRule="exact"/>
              <w:rPr>
                <w:sz w:val="20"/>
                <w:szCs w:val="20"/>
                <w:color w:val="auto"/>
              </w:rPr>
            </w:pPr>
            <w:r>
              <w:rPr>
                <w:rFonts w:ascii="Times New Roman" w:cs="Times New Roman" w:eastAsia="Times New Roman" w:hAnsi="Times New Roman"/>
                <w:sz w:val="13"/>
                <w:szCs w:val="13"/>
                <w:color w:val="auto"/>
              </w:rPr>
              <w:t>273</w:t>
            </w:r>
          </w:p>
        </w:tc>
        <w:tc>
          <w:tcPr>
            <w:tcW w:w="66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261,993</w:t>
            </w:r>
          </w:p>
        </w:tc>
        <w:tc>
          <w:tcPr>
            <w:tcW w:w="880" w:type="dxa"/>
            <w:vAlign w:val="bottom"/>
            <w:gridSpan w:val="2"/>
            <w:shd w:val="clear" w:color="auto" w:fill="CCEEFF"/>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262</w:t>
            </w: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Insurance premium payables</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124,019</w:t>
            </w:r>
          </w:p>
        </w:tc>
        <w:tc>
          <w:tcPr>
            <w:tcW w:w="900" w:type="dxa"/>
            <w:vAlign w:val="bottom"/>
            <w:gridSpan w:val="2"/>
          </w:tcPr>
          <w:p>
            <w:pPr>
              <w:jc w:val="right"/>
              <w:ind w:right="3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124,019</w:t>
            </w:r>
          </w:p>
        </w:tc>
        <w:tc>
          <w:tcPr>
            <w:tcW w:w="660" w:type="dxa"/>
            <w:vAlign w:val="bottom"/>
            <w:gridSpan w:val="2"/>
          </w:tcPr>
          <w:p>
            <w:pPr>
              <w:ind w:left="3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27,567</w:t>
            </w:r>
          </w:p>
        </w:tc>
        <w:tc>
          <w:tcPr>
            <w:tcW w:w="880" w:type="dxa"/>
            <w:vAlign w:val="bottom"/>
            <w:gridSpan w:val="2"/>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33"/>
        </w:trPr>
        <w:tc>
          <w:tcPr>
            <w:tcW w:w="1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Contract liabilities</w:t>
            </w:r>
          </w:p>
        </w:tc>
        <w:tc>
          <w:tcPr>
            <w:tcW w:w="6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4,555</w:t>
            </w:r>
          </w:p>
        </w:tc>
        <w:tc>
          <w:tcPr>
            <w:tcW w:w="8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2,681</w:t>
            </w:r>
          </w:p>
        </w:tc>
        <w:tc>
          <w:tcPr>
            <w:tcW w:w="90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7,236</w:t>
            </w:r>
          </w:p>
        </w:tc>
        <w:tc>
          <w:tcPr>
            <w:tcW w:w="6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3,332</w:t>
            </w:r>
          </w:p>
        </w:tc>
        <w:tc>
          <w:tcPr>
            <w:tcW w:w="780" w:type="dxa"/>
            <w:vAlign w:val="bottom"/>
            <w:gridSpan w:val="2"/>
            <w:shd w:val="clear" w:color="auto" w:fill="CCEEFF"/>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702</w:t>
            </w:r>
          </w:p>
        </w:tc>
        <w:tc>
          <w:tcPr>
            <w:tcW w:w="880" w:type="dxa"/>
            <w:vAlign w:val="bottom"/>
            <w:gridSpan w:val="2"/>
            <w:shd w:val="clear" w:color="auto" w:fill="CCEEFF"/>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13"/>
        </w:trPr>
        <w:tc>
          <w:tcPr>
            <w:tcW w:w="184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Other payables and accrued</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17,892</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292,602</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5,132</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207,461</w:t>
            </w: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(451,832)</w:t>
            </w:r>
            <w:r>
              <w:rPr>
                <w:rFonts w:ascii="Times New Roman" w:cs="Times New Roman" w:eastAsia="Times New Roman" w:hAnsi="Times New Roman"/>
                <w:sz w:val="9"/>
                <w:szCs w:val="9"/>
                <w:color w:val="auto"/>
              </w:rPr>
              <w:t>(i)</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71,255</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17,892</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316,210</w:t>
            </w: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195,136</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auto"/>
              </w:rPr>
              <w:t>(470,987)</w:t>
            </w:r>
            <w:r>
              <w:rPr>
                <w:rFonts w:ascii="Times New Roman" w:cs="Times New Roman" w:eastAsia="Times New Roman" w:hAnsi="Times New Roman"/>
                <w:sz w:val="9"/>
                <w:szCs w:val="9"/>
                <w:color w:val="auto"/>
              </w:rPr>
              <w:t>(i)</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53"/>
        </w:trPr>
        <w:tc>
          <w:tcPr>
            <w:tcW w:w="1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expenses</w:t>
            </w:r>
          </w:p>
        </w:tc>
        <w:tc>
          <w:tcPr>
            <w:tcW w:w="64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Payroll and welfare payable</w:t>
            </w:r>
          </w:p>
        </w:tc>
        <w:tc>
          <w:tcPr>
            <w:tcW w:w="6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1,357</w:t>
            </w:r>
          </w:p>
        </w:tc>
        <w:tc>
          <w:tcPr>
            <w:tcW w:w="8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92,094</w:t>
            </w:r>
          </w:p>
        </w:tc>
        <w:tc>
          <w:tcPr>
            <w:tcW w:w="90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93,451</w:t>
            </w:r>
          </w:p>
        </w:tc>
        <w:tc>
          <w:tcPr>
            <w:tcW w:w="6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4,138</w:t>
            </w:r>
          </w:p>
        </w:tc>
        <w:tc>
          <w:tcPr>
            <w:tcW w:w="780" w:type="dxa"/>
            <w:vAlign w:val="bottom"/>
            <w:gridSpan w:val="2"/>
            <w:shd w:val="clear" w:color="auto" w:fill="CCEEFF"/>
          </w:tcPr>
          <w:p>
            <w:pPr>
              <w:ind w:left="480"/>
              <w:spacing w:after="0" w:line="133" w:lineRule="exact"/>
              <w:rPr>
                <w:sz w:val="20"/>
                <w:szCs w:val="20"/>
                <w:color w:val="auto"/>
              </w:rPr>
            </w:pPr>
            <w:r>
              <w:rPr>
                <w:rFonts w:ascii="Times New Roman" w:cs="Times New Roman" w:eastAsia="Times New Roman" w:hAnsi="Times New Roman"/>
                <w:sz w:val="13"/>
                <w:szCs w:val="13"/>
                <w:color w:val="auto"/>
              </w:rPr>
              <w:t>126</w:t>
            </w:r>
          </w:p>
        </w:tc>
        <w:tc>
          <w:tcPr>
            <w:tcW w:w="66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39,674</w:t>
            </w:r>
          </w:p>
        </w:tc>
        <w:tc>
          <w:tcPr>
            <w:tcW w:w="880" w:type="dxa"/>
            <w:vAlign w:val="bottom"/>
            <w:gridSpan w:val="2"/>
            <w:shd w:val="clear" w:color="auto" w:fill="CCEEFF"/>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Income taxes payable</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2,440</w:t>
            </w:r>
          </w:p>
        </w:tc>
        <w:tc>
          <w:tcPr>
            <w:tcW w:w="900" w:type="dxa"/>
            <w:vAlign w:val="bottom"/>
            <w:gridSpan w:val="2"/>
          </w:tcPr>
          <w:p>
            <w:pPr>
              <w:jc w:val="right"/>
              <w:ind w:right="3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2,440</w:t>
            </w:r>
          </w:p>
        </w:tc>
        <w:tc>
          <w:tcPr>
            <w:tcW w:w="660" w:type="dxa"/>
            <w:vAlign w:val="bottom"/>
            <w:gridSpan w:val="2"/>
          </w:tcPr>
          <w:p>
            <w:pPr>
              <w:ind w:left="3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2,440</w:t>
            </w:r>
          </w:p>
        </w:tc>
        <w:tc>
          <w:tcPr>
            <w:tcW w:w="880" w:type="dxa"/>
            <w:vAlign w:val="bottom"/>
            <w:gridSpan w:val="2"/>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3"/>
        </w:trPr>
        <w:tc>
          <w:tcPr>
            <w:tcW w:w="1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Operating lease liabilities</w:t>
            </w:r>
          </w:p>
        </w:tc>
        <w:tc>
          <w:tcPr>
            <w:tcW w:w="64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2,524</w:t>
            </w:r>
          </w:p>
        </w:tc>
        <w:tc>
          <w:tcPr>
            <w:tcW w:w="64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12,362</w:t>
            </w:r>
          </w:p>
        </w:tc>
        <w:tc>
          <w:tcPr>
            <w:tcW w:w="90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14,886</w:t>
            </w:r>
          </w:p>
        </w:tc>
        <w:tc>
          <w:tcPr>
            <w:tcW w:w="660" w:type="dxa"/>
            <w:vAlign w:val="bottom"/>
            <w:gridSpan w:val="2"/>
            <w:shd w:val="clear" w:color="auto" w:fill="CCEEFF"/>
          </w:tcPr>
          <w:p>
            <w:pPr>
              <w:ind w:left="3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10,075</w:t>
            </w:r>
          </w:p>
        </w:tc>
        <w:tc>
          <w:tcPr>
            <w:tcW w:w="880" w:type="dxa"/>
            <w:vAlign w:val="bottom"/>
            <w:gridSpan w:val="2"/>
            <w:shd w:val="clear" w:color="auto" w:fill="CCEEFF"/>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Amount due to related parties</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11,875</w:t>
            </w:r>
          </w:p>
        </w:tc>
        <w:tc>
          <w:tcPr>
            <w:tcW w:w="900" w:type="dxa"/>
            <w:vAlign w:val="bottom"/>
            <w:gridSpan w:val="2"/>
          </w:tcPr>
          <w:p>
            <w:pPr>
              <w:jc w:val="right"/>
              <w:ind w:right="3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11,875</w:t>
            </w:r>
          </w:p>
        </w:tc>
        <w:tc>
          <w:tcPr>
            <w:tcW w:w="660" w:type="dxa"/>
            <w:vAlign w:val="bottom"/>
            <w:gridSpan w:val="2"/>
          </w:tcPr>
          <w:p>
            <w:pPr>
              <w:ind w:left="3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495</w:t>
            </w:r>
          </w:p>
        </w:tc>
        <w:tc>
          <w:tcPr>
            <w:tcW w:w="880" w:type="dxa"/>
            <w:vAlign w:val="bottom"/>
            <w:gridSpan w:val="2"/>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8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64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3"/>
                <w:szCs w:val="13"/>
                <w:color w:val="auto"/>
              </w:rPr>
              <w:t>23,804</w:t>
            </w:r>
          </w:p>
        </w:tc>
        <w:tc>
          <w:tcPr>
            <w:tcW w:w="800" w:type="dxa"/>
            <w:vAlign w:val="bottom"/>
            <w:gridSpan w:val="2"/>
            <w:shd w:val="clear" w:color="auto" w:fill="CCEEFF"/>
          </w:tcPr>
          <w:p>
            <w:pPr>
              <w:jc w:val="right"/>
              <w:ind w:right="120"/>
              <w:spacing w:after="0" w:line="121" w:lineRule="exact"/>
              <w:rPr>
                <w:sz w:val="20"/>
                <w:szCs w:val="20"/>
                <w:color w:val="auto"/>
              </w:rPr>
            </w:pPr>
            <w:r>
              <w:rPr>
                <w:rFonts w:ascii="Times New Roman" w:cs="Times New Roman" w:eastAsia="Times New Roman" w:hAnsi="Times New Roman"/>
                <w:sz w:val="13"/>
                <w:szCs w:val="13"/>
                <w:color w:val="auto"/>
              </w:rPr>
              <w:t>295,312</w:t>
            </w:r>
          </w:p>
        </w:tc>
        <w:tc>
          <w:tcPr>
            <w:tcW w:w="64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3"/>
                <w:szCs w:val="13"/>
                <w:color w:val="auto"/>
              </w:rPr>
              <w:t>5,132</w:t>
            </w:r>
          </w:p>
        </w:tc>
        <w:tc>
          <w:tcPr>
            <w:tcW w:w="76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3"/>
                <w:szCs w:val="13"/>
                <w:color w:val="auto"/>
              </w:rPr>
              <w:t>1,349,825</w:t>
            </w:r>
          </w:p>
        </w:tc>
        <w:tc>
          <w:tcPr>
            <w:tcW w:w="900" w:type="dxa"/>
            <w:vAlign w:val="bottom"/>
            <w:gridSpan w:val="2"/>
            <w:shd w:val="clear" w:color="auto" w:fill="CCEEFF"/>
          </w:tcPr>
          <w:p>
            <w:pPr>
              <w:ind w:left="200"/>
              <w:spacing w:after="0" w:line="121" w:lineRule="exact"/>
              <w:rPr>
                <w:sz w:val="20"/>
                <w:szCs w:val="20"/>
                <w:color w:val="auto"/>
              </w:rPr>
            </w:pPr>
            <w:r>
              <w:rPr>
                <w:rFonts w:ascii="Times New Roman" w:cs="Times New Roman" w:eastAsia="Times New Roman" w:hAnsi="Times New Roman"/>
                <w:sz w:val="13"/>
                <w:szCs w:val="13"/>
                <w:color w:val="auto"/>
              </w:rPr>
              <w:t>(451,832)</w:t>
            </w:r>
          </w:p>
        </w:tc>
        <w:tc>
          <w:tcPr>
            <w:tcW w:w="82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3"/>
                <w:szCs w:val="13"/>
                <w:color w:val="auto"/>
              </w:rPr>
              <w:t>1,222,241</w:t>
            </w:r>
          </w:p>
        </w:tc>
        <w:tc>
          <w:tcPr>
            <w:tcW w:w="660" w:type="dxa"/>
            <w:vAlign w:val="bottom"/>
            <w:gridSpan w:val="2"/>
            <w:shd w:val="clear" w:color="auto" w:fill="CCEEFF"/>
          </w:tcPr>
          <w:p>
            <w:pPr>
              <w:jc w:val="right"/>
              <w:ind w:right="120"/>
              <w:spacing w:after="0" w:line="121" w:lineRule="exact"/>
              <w:rPr>
                <w:sz w:val="20"/>
                <w:szCs w:val="20"/>
                <w:color w:val="auto"/>
              </w:rPr>
            </w:pPr>
            <w:r>
              <w:rPr>
                <w:rFonts w:ascii="Times New Roman" w:cs="Times New Roman" w:eastAsia="Times New Roman" w:hAnsi="Times New Roman"/>
                <w:sz w:val="13"/>
                <w:szCs w:val="13"/>
                <w:color w:val="auto"/>
              </w:rPr>
              <w:t>25,362</w:t>
            </w:r>
          </w:p>
        </w:tc>
        <w:tc>
          <w:tcPr>
            <w:tcW w:w="78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3"/>
                <w:szCs w:val="13"/>
                <w:color w:val="auto"/>
              </w:rPr>
              <w:t>316,609</w:t>
            </w:r>
          </w:p>
        </w:tc>
        <w:tc>
          <w:tcPr>
            <w:tcW w:w="660" w:type="dxa"/>
            <w:vAlign w:val="bottom"/>
            <w:gridSpan w:val="2"/>
            <w:shd w:val="clear" w:color="auto" w:fill="CCEEFF"/>
          </w:tcPr>
          <w:p>
            <w:pPr>
              <w:ind w:left="340"/>
              <w:spacing w:after="0" w:line="121"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line="121" w:lineRule="exact"/>
              <w:rPr>
                <w:sz w:val="20"/>
                <w:szCs w:val="20"/>
                <w:color w:val="auto"/>
              </w:rPr>
            </w:pPr>
            <w:r>
              <w:rPr>
                <w:rFonts w:ascii="Times New Roman" w:cs="Times New Roman" w:eastAsia="Times New Roman" w:hAnsi="Times New Roman"/>
                <w:sz w:val="13"/>
                <w:szCs w:val="13"/>
                <w:color w:val="auto"/>
              </w:rPr>
              <w:t>688,082</w:t>
            </w:r>
          </w:p>
        </w:tc>
        <w:tc>
          <w:tcPr>
            <w:tcW w:w="8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3"/>
                <w:szCs w:val="13"/>
                <w:color w:val="auto"/>
              </w:rPr>
              <w:t>(470,987)</w:t>
            </w: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color w:val="auto"/>
              </w:rPr>
              <w:t>559</w:t>
            </w: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Non-current liabilities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ind w:left="52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340"/>
          </w:cols>
          <w:pgMar w:left="320" w:top="447"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0" w:lineRule="exact"/>
        <w:rPr>
          <w:sz w:val="20"/>
          <w:szCs w:val="20"/>
          <w:color w:val="auto"/>
        </w:rPr>
      </w:pPr>
    </w:p>
    <w:tbl>
      <w:tblPr>
        <w:tblLayout w:type="fixed"/>
        <w:tblInd w:w="700" w:type="dxa"/>
        <w:tblCellMar>
          <w:top w:w="0" w:type="dxa"/>
          <w:left w:w="0" w:type="dxa"/>
          <w:bottom w:w="0" w:type="dxa"/>
          <w:right w:w="0" w:type="dxa"/>
        </w:tblCellMar>
      </w:tblPr>
      <w:tr>
        <w:trPr>
          <w:trHeight w:val="155"/>
        </w:trPr>
        <w:tc>
          <w:tcPr>
            <w:tcW w:w="20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As at December 31, 2021</w:t>
            </w:r>
          </w:p>
        </w:tc>
        <w:tc>
          <w:tcPr>
            <w:tcW w:w="6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3"/>
                <w:szCs w:val="13"/>
                <w:b w:val="1"/>
                <w:bCs w:val="1"/>
                <w:color w:val="auto"/>
              </w:rPr>
              <w:t>As at December 31, 2022</w:t>
            </w: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40" w:type="dxa"/>
            <w:vAlign w:val="bottom"/>
          </w:tcPr>
          <w:p>
            <w:pPr>
              <w:spacing w:after="0"/>
              <w:rPr>
                <w:sz w:val="8"/>
                <w:szCs w:val="8"/>
                <w:color w:val="auto"/>
              </w:rPr>
            </w:pPr>
          </w:p>
        </w:tc>
        <w:tc>
          <w:tcPr>
            <w:tcW w:w="6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Parent</w:t>
            </w:r>
          </w:p>
        </w:tc>
        <w:tc>
          <w:tcPr>
            <w:tcW w:w="80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11"/>
                <w:szCs w:val="11"/>
                <w:b w:val="1"/>
                <w:bCs w:val="1"/>
                <w:color w:val="auto"/>
              </w:rPr>
              <w:t>Subsidiaries</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VIE and its</w:t>
            </w:r>
          </w:p>
        </w:tc>
        <w:tc>
          <w:tcPr>
            <w:tcW w:w="880" w:type="dxa"/>
            <w:vAlign w:val="bottom"/>
            <w:gridSpan w:val="2"/>
            <w:vMerge w:val="restart"/>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w w:val="94"/>
              </w:rPr>
              <w:t>Elimination</w:t>
            </w: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Parent</w:t>
            </w:r>
          </w:p>
        </w:tc>
        <w:tc>
          <w:tcPr>
            <w:tcW w:w="78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11"/>
                <w:szCs w:val="11"/>
                <w:b w:val="1"/>
                <w:bCs w:val="1"/>
                <w:color w:val="auto"/>
              </w:rPr>
              <w:t>Subsidiaries</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VIE and its</w:t>
            </w:r>
          </w:p>
        </w:tc>
        <w:tc>
          <w:tcPr>
            <w:tcW w:w="900" w:type="dxa"/>
            <w:vAlign w:val="bottom"/>
            <w:gridSpan w:val="2"/>
            <w:vMerge w:val="restart"/>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w w:val="97"/>
              </w:rPr>
              <w:t>Elimination</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4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80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3"/>
                <w:szCs w:val="13"/>
                <w:b w:val="1"/>
                <w:bCs w:val="1"/>
                <w:color w:val="auto"/>
                <w:w w:val="98"/>
              </w:rPr>
              <w:t>of parent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WFOE</w:t>
            </w:r>
          </w:p>
        </w:tc>
        <w:tc>
          <w:tcPr>
            <w:tcW w:w="78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c>
          <w:tcPr>
            <w:tcW w:w="660" w:type="dxa"/>
            <w:vAlign w:val="bottom"/>
            <w:gridSpan w:val="2"/>
            <w:vMerge w:val="continue"/>
          </w:tcPr>
          <w:p>
            <w:pPr>
              <w:spacing w:after="0"/>
              <w:rPr>
                <w:sz w:val="11"/>
                <w:szCs w:val="11"/>
                <w:color w:val="auto"/>
              </w:rPr>
            </w:pPr>
          </w:p>
        </w:tc>
        <w:tc>
          <w:tcPr>
            <w:tcW w:w="78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3"/>
                <w:szCs w:val="13"/>
                <w:b w:val="1"/>
                <w:bCs w:val="1"/>
                <w:color w:val="auto"/>
                <w:w w:val="98"/>
              </w:rPr>
              <w:t>of parent</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WFOE</w:t>
            </w:r>
          </w:p>
        </w:tc>
        <w:tc>
          <w:tcPr>
            <w:tcW w:w="7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w:t>
            </w:r>
          </w:p>
        </w:tc>
        <w:tc>
          <w:tcPr>
            <w:tcW w:w="0" w:type="dxa"/>
            <w:vAlign w:val="bottom"/>
          </w:tcPr>
          <w:p>
            <w:pPr>
              <w:spacing w:after="0"/>
              <w:rPr>
                <w:sz w:val="1"/>
                <w:szCs w:val="1"/>
                <w:color w:val="auto"/>
              </w:rPr>
            </w:pPr>
          </w:p>
        </w:tc>
      </w:tr>
      <w:tr>
        <w:trPr>
          <w:trHeight w:val="133"/>
        </w:trPr>
        <w:tc>
          <w:tcPr>
            <w:tcW w:w="2040" w:type="dxa"/>
            <w:vAlign w:val="bottom"/>
          </w:tcPr>
          <w:p>
            <w:pPr>
              <w:spacing w:after="0"/>
              <w:rPr>
                <w:sz w:val="11"/>
                <w:szCs w:val="11"/>
                <w:color w:val="auto"/>
              </w:rPr>
            </w:pPr>
          </w:p>
        </w:tc>
        <w:tc>
          <w:tcPr>
            <w:tcW w:w="660" w:type="dxa"/>
            <w:vAlign w:val="bottom"/>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b w:val="1"/>
                <w:bCs w:val="1"/>
                <w:color w:val="auto"/>
                <w:w w:val="94"/>
              </w:rPr>
              <w:t>company</w:t>
            </w:r>
          </w:p>
        </w:tc>
        <w:tc>
          <w:tcPr>
            <w:tcW w:w="80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3"/>
                <w:szCs w:val="13"/>
                <w:b w:val="1"/>
                <w:bCs w:val="1"/>
                <w:color w:val="auto"/>
                <w:w w:val="99"/>
              </w:rPr>
              <w:t>Company</w:t>
            </w:r>
          </w:p>
        </w:tc>
        <w:tc>
          <w:tcPr>
            <w:tcW w:w="660" w:type="dxa"/>
            <w:vAlign w:val="bottom"/>
            <w:gridSpan w:val="2"/>
            <w:vMerge w:val="continue"/>
          </w:tcPr>
          <w:p>
            <w:pPr>
              <w:spacing w:after="0"/>
              <w:rPr>
                <w:sz w:val="11"/>
                <w:szCs w:val="11"/>
                <w:color w:val="auto"/>
              </w:rPr>
            </w:pPr>
          </w:p>
        </w:tc>
        <w:tc>
          <w:tcPr>
            <w:tcW w:w="7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b w:val="1"/>
                <w:bCs w:val="1"/>
                <w:color w:val="auto"/>
                <w:w w:val="97"/>
              </w:rPr>
              <w:t>subsidiaries</w:t>
            </w:r>
          </w:p>
        </w:tc>
        <w:tc>
          <w:tcPr>
            <w:tcW w:w="880" w:type="dxa"/>
            <w:vAlign w:val="bottom"/>
            <w:gridSpan w:val="2"/>
          </w:tcPr>
          <w:p>
            <w:pPr>
              <w:jc w:val="right"/>
              <w:ind w:right="323"/>
              <w:spacing w:after="0" w:line="133" w:lineRule="exact"/>
              <w:rPr>
                <w:sz w:val="20"/>
                <w:szCs w:val="20"/>
                <w:color w:val="auto"/>
              </w:rPr>
            </w:pPr>
            <w:r>
              <w:rPr>
                <w:rFonts w:ascii="Times New Roman" w:cs="Times New Roman" w:eastAsia="Times New Roman" w:hAnsi="Times New Roman"/>
                <w:sz w:val="13"/>
                <w:szCs w:val="13"/>
                <w:b w:val="1"/>
                <w:bCs w:val="1"/>
                <w:color w:val="auto"/>
              </w:rPr>
              <w:t>(Note 2)</w:t>
            </w:r>
          </w:p>
        </w:tc>
        <w:tc>
          <w:tcPr>
            <w:tcW w:w="860" w:type="dxa"/>
            <w:vAlign w:val="bottom"/>
            <w:gridSpan w:val="2"/>
            <w:vMerge w:val="continue"/>
          </w:tcPr>
          <w:p>
            <w:pPr>
              <w:spacing w:after="0"/>
              <w:rPr>
                <w:sz w:val="11"/>
                <w:szCs w:val="11"/>
                <w:color w:val="auto"/>
              </w:rPr>
            </w:pPr>
          </w:p>
        </w:tc>
        <w:tc>
          <w:tcPr>
            <w:tcW w:w="66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b w:val="1"/>
                <w:bCs w:val="1"/>
                <w:color w:val="auto"/>
                <w:w w:val="94"/>
              </w:rPr>
              <w:t>company</w:t>
            </w:r>
          </w:p>
        </w:tc>
        <w:tc>
          <w:tcPr>
            <w:tcW w:w="78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3"/>
                <w:szCs w:val="13"/>
                <w:b w:val="1"/>
                <w:bCs w:val="1"/>
                <w:color w:val="auto"/>
                <w:w w:val="99"/>
              </w:rPr>
              <w:t>Company</w:t>
            </w:r>
          </w:p>
        </w:tc>
        <w:tc>
          <w:tcPr>
            <w:tcW w:w="680" w:type="dxa"/>
            <w:vAlign w:val="bottom"/>
            <w:gridSpan w:val="2"/>
            <w:vMerge w:val="continue"/>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subsidiaries</w:t>
            </w:r>
          </w:p>
        </w:tc>
        <w:tc>
          <w:tcPr>
            <w:tcW w:w="900" w:type="dxa"/>
            <w:vAlign w:val="bottom"/>
            <w:gridSpan w:val="2"/>
          </w:tcPr>
          <w:p>
            <w:pPr>
              <w:jc w:val="right"/>
              <w:ind w:right="323"/>
              <w:spacing w:after="0" w:line="133" w:lineRule="exact"/>
              <w:rPr>
                <w:sz w:val="20"/>
                <w:szCs w:val="20"/>
                <w:color w:val="auto"/>
              </w:rPr>
            </w:pPr>
            <w:r>
              <w:rPr>
                <w:rFonts w:ascii="Times New Roman" w:cs="Times New Roman" w:eastAsia="Times New Roman" w:hAnsi="Times New Roman"/>
                <w:sz w:val="13"/>
                <w:szCs w:val="13"/>
                <w:b w:val="1"/>
                <w:bCs w:val="1"/>
                <w:color w:val="auto"/>
              </w:rPr>
              <w:t>(Note 2)</w:t>
            </w:r>
          </w:p>
        </w:tc>
        <w:tc>
          <w:tcPr>
            <w:tcW w:w="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40" w:type="dxa"/>
            <w:vAlign w:val="bottom"/>
          </w:tcPr>
          <w:p>
            <w:pPr>
              <w:spacing w:after="0"/>
              <w:rPr>
                <w:sz w:val="13"/>
                <w:szCs w:val="13"/>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5"/>
              </w:rPr>
              <w:t>RMB’000</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RMB’000</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5"/>
              </w:rPr>
              <w:t>RMB’000</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RMB’000</w:t>
            </w:r>
          </w:p>
        </w:tc>
        <w:tc>
          <w:tcPr>
            <w:tcW w:w="880" w:type="dxa"/>
            <w:vAlign w:val="bottom"/>
            <w:gridSpan w:val="2"/>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RMB’000</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RMB’000</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2"/>
              </w:rPr>
              <w:t>RMB’000</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RMB’000</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5"/>
              </w:rPr>
              <w:t>RMB’000</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RMB’000</w:t>
            </w:r>
          </w:p>
        </w:tc>
        <w:tc>
          <w:tcPr>
            <w:tcW w:w="900" w:type="dxa"/>
            <w:vAlign w:val="bottom"/>
            <w:gridSpan w:val="2"/>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RMB’000</w:t>
            </w: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w w:val="84"/>
              </w:rPr>
              <w:t>R</w:t>
            </w:r>
          </w:p>
        </w:tc>
        <w:tc>
          <w:tcPr>
            <w:tcW w:w="0" w:type="dxa"/>
            <w:vAlign w:val="bottom"/>
          </w:tcPr>
          <w:p>
            <w:pPr>
              <w:spacing w:after="0"/>
              <w:rPr>
                <w:sz w:val="1"/>
                <w:szCs w:val="1"/>
                <w:color w:val="auto"/>
              </w:rPr>
            </w:pPr>
          </w:p>
        </w:tc>
      </w:tr>
      <w:tr>
        <w:trPr>
          <w:trHeight w:val="125"/>
        </w:trPr>
        <w:tc>
          <w:tcPr>
            <w:tcW w:w="204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Long-term borrowings</w:t>
            </w:r>
          </w:p>
        </w:tc>
        <w:tc>
          <w:tcPr>
            <w:tcW w:w="54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gridSpan w:val="2"/>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20,000</w:t>
            </w: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20,000</w:t>
            </w: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ind w:right="16"/>
              <w:spacing w:after="0" w:line="12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ind w:left="4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ind w:right="16"/>
              <w:spacing w:after="0" w:line="12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Deferred tax liabilities</w:t>
            </w:r>
          </w:p>
        </w:tc>
        <w:tc>
          <w:tcPr>
            <w:tcW w:w="660" w:type="dxa"/>
            <w:vAlign w:val="bottom"/>
            <w:gridSpan w:val="3"/>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437</w:t>
            </w:r>
          </w:p>
        </w:tc>
        <w:tc>
          <w:tcPr>
            <w:tcW w:w="6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4,455</w:t>
            </w:r>
          </w:p>
        </w:tc>
        <w:tc>
          <w:tcPr>
            <w:tcW w:w="880" w:type="dxa"/>
            <w:vAlign w:val="bottom"/>
            <w:gridSpan w:val="2"/>
          </w:tcPr>
          <w:p>
            <w:pPr>
              <w:jc w:val="right"/>
              <w:ind w:right="263"/>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4,892</w:t>
            </w:r>
          </w:p>
        </w:tc>
        <w:tc>
          <w:tcPr>
            <w:tcW w:w="66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3"/>
                <w:szCs w:val="13"/>
                <w:color w:val="auto"/>
              </w:rPr>
              <w:t>437</w:t>
            </w:r>
          </w:p>
        </w:tc>
        <w:tc>
          <w:tcPr>
            <w:tcW w:w="68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12,054</w:t>
            </w:r>
          </w:p>
        </w:tc>
        <w:tc>
          <w:tcPr>
            <w:tcW w:w="900" w:type="dxa"/>
            <w:vAlign w:val="bottom"/>
            <w:gridSpan w:val="2"/>
          </w:tcPr>
          <w:p>
            <w:pPr>
              <w:jc w:val="right"/>
              <w:ind w:right="263"/>
              <w:spacing w:after="0" w:line="13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Operating lease liabilities</w:t>
            </w:r>
          </w:p>
        </w:tc>
        <w:tc>
          <w:tcPr>
            <w:tcW w:w="660" w:type="dxa"/>
            <w:vAlign w:val="bottom"/>
            <w:gridSpan w:val="3"/>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3,787</w:t>
            </w:r>
          </w:p>
        </w:tc>
        <w:tc>
          <w:tcPr>
            <w:tcW w:w="6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245,396</w:t>
            </w:r>
          </w:p>
        </w:tc>
        <w:tc>
          <w:tcPr>
            <w:tcW w:w="880" w:type="dxa"/>
            <w:vAlign w:val="bottom"/>
            <w:gridSpan w:val="2"/>
            <w:shd w:val="clear" w:color="auto" w:fill="CCEEFF"/>
          </w:tcPr>
          <w:p>
            <w:pPr>
              <w:jc w:val="right"/>
              <w:ind w:right="263"/>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249,183</w:t>
            </w:r>
          </w:p>
        </w:tc>
        <w:tc>
          <w:tcPr>
            <w:tcW w:w="66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176,032</w:t>
            </w:r>
          </w:p>
        </w:tc>
        <w:tc>
          <w:tcPr>
            <w:tcW w:w="900" w:type="dxa"/>
            <w:vAlign w:val="bottom"/>
            <w:gridSpan w:val="2"/>
            <w:shd w:val="clear" w:color="auto" w:fill="CCEEFF"/>
          </w:tcPr>
          <w:p>
            <w:pPr>
              <w:jc w:val="right"/>
              <w:ind w:right="263"/>
              <w:spacing w:after="0" w:line="13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Payroll and welfare payable</w:t>
            </w:r>
          </w:p>
        </w:tc>
        <w:tc>
          <w:tcPr>
            <w:tcW w:w="5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225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225</w:t>
            </w:r>
          </w:p>
        </w:tc>
        <w:tc>
          <w:tcPr>
            <w:tcW w:w="120" w:type="dxa"/>
            <w:vAlign w:val="bottom"/>
          </w:tcPr>
          <w:p>
            <w:pPr>
              <w:spacing w:after="0"/>
              <w:rPr>
                <w:sz w:val="11"/>
                <w:szCs w:val="11"/>
                <w:color w:val="auto"/>
              </w:rPr>
            </w:pPr>
          </w:p>
        </w:tc>
        <w:tc>
          <w:tcPr>
            <w:tcW w:w="540" w:type="dxa"/>
            <w:vAlign w:val="bottom"/>
            <w:tcBorders>
              <w:bottom w:val="single" w:sz="8" w:color="auto"/>
            </w:tcBorders>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Borders>
              <w:bottom w:val="single" w:sz="8" w:color="auto"/>
            </w:tcBorders>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225</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4,224</w:t>
            </w:r>
          </w:p>
        </w:tc>
        <w:tc>
          <w:tcPr>
            <w:tcW w:w="6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269,851</w:t>
            </w:r>
          </w:p>
        </w:tc>
        <w:tc>
          <w:tcPr>
            <w:tcW w:w="880" w:type="dxa"/>
            <w:vAlign w:val="bottom"/>
            <w:gridSpan w:val="2"/>
            <w:shd w:val="clear" w:color="auto" w:fill="CCEEFF"/>
          </w:tcPr>
          <w:p>
            <w:pPr>
              <w:jc w:val="right"/>
              <w:ind w:right="263"/>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247,300</w:t>
            </w:r>
          </w:p>
        </w:tc>
        <w:tc>
          <w:tcPr>
            <w:tcW w:w="66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80"/>
              <w:spacing w:after="0" w:line="133" w:lineRule="exact"/>
              <w:rPr>
                <w:sz w:val="20"/>
                <w:szCs w:val="20"/>
                <w:color w:val="auto"/>
              </w:rPr>
            </w:pPr>
            <w:r>
              <w:rPr>
                <w:rFonts w:ascii="Times New Roman" w:cs="Times New Roman" w:eastAsia="Times New Roman" w:hAnsi="Times New Roman"/>
                <w:sz w:val="13"/>
                <w:szCs w:val="13"/>
                <w:color w:val="auto"/>
              </w:rPr>
              <w:t>437</w:t>
            </w:r>
          </w:p>
        </w:tc>
        <w:tc>
          <w:tcPr>
            <w:tcW w:w="6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188,086</w:t>
            </w:r>
          </w:p>
        </w:tc>
        <w:tc>
          <w:tcPr>
            <w:tcW w:w="900" w:type="dxa"/>
            <w:vAlign w:val="bottom"/>
            <w:gridSpan w:val="2"/>
            <w:shd w:val="clear" w:color="auto" w:fill="CCEEFF"/>
          </w:tcPr>
          <w:p>
            <w:pPr>
              <w:jc w:val="right"/>
              <w:ind w:right="263"/>
              <w:spacing w:after="0" w:line="13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40" w:type="dxa"/>
            <w:vAlign w:val="bottom"/>
            <w:vMerge w:val="continue"/>
          </w:tcPr>
          <w:p>
            <w:pPr>
              <w:spacing w:after="0"/>
              <w:rPr>
                <w:sz w:val="10"/>
                <w:szCs w:val="10"/>
                <w:color w:val="auto"/>
              </w:rPr>
            </w:pPr>
          </w:p>
        </w:tc>
        <w:tc>
          <w:tcPr>
            <w:tcW w:w="5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color w:val="auto"/>
              </w:rPr>
              <w:t>24,029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color w:val="auto"/>
              </w:rPr>
              <w:t>299,536</w:t>
            </w:r>
          </w:p>
        </w:tc>
        <w:tc>
          <w:tcPr>
            <w:tcW w:w="120" w:type="dxa"/>
            <w:vAlign w:val="bottom"/>
          </w:tcPr>
          <w:p>
            <w:pPr>
              <w:spacing w:after="0"/>
              <w:rPr>
                <w:sz w:val="10"/>
                <w:szCs w:val="10"/>
                <w:color w:val="auto"/>
              </w:rPr>
            </w:pPr>
          </w:p>
        </w:tc>
        <w:tc>
          <w:tcPr>
            <w:tcW w:w="5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color w:val="auto"/>
              </w:rPr>
              <w:t>5,132</w:t>
            </w:r>
          </w:p>
        </w:tc>
        <w:tc>
          <w:tcPr>
            <w:tcW w:w="12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color w:val="auto"/>
              </w:rPr>
              <w:t>1,619,676</w:t>
            </w:r>
          </w:p>
        </w:tc>
        <w:tc>
          <w:tcPr>
            <w:tcW w:w="120" w:type="dxa"/>
            <w:vAlign w:val="bottom"/>
          </w:tcPr>
          <w:p>
            <w:pPr>
              <w:spacing w:after="0"/>
              <w:rPr>
                <w:sz w:val="10"/>
                <w:szCs w:val="10"/>
                <w:color w:val="auto"/>
              </w:rPr>
            </w:pPr>
          </w:p>
        </w:tc>
        <w:tc>
          <w:tcPr>
            <w:tcW w:w="6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color w:val="auto"/>
              </w:rPr>
              <w:t>(451,832</w:t>
            </w:r>
          </w:p>
        </w:tc>
        <w:tc>
          <w:tcPr>
            <w:tcW w:w="240" w:type="dxa"/>
            <w:vAlign w:val="bottom"/>
          </w:tcPr>
          <w:p>
            <w:pPr>
              <w:jc w:val="right"/>
              <w:ind w:right="163"/>
              <w:spacing w:after="0"/>
              <w:rPr>
                <w:sz w:val="20"/>
                <w:szCs w:val="20"/>
                <w:color w:val="auto"/>
              </w:rPr>
            </w:pPr>
            <w:r>
              <w:rPr>
                <w:rFonts w:ascii="Times New Roman" w:cs="Times New Roman" w:eastAsia="Times New Roman" w:hAnsi="Times New Roman"/>
                <w:sz w:val="7"/>
                <w:szCs w:val="7"/>
                <w:color w:val="auto"/>
                <w:w w:val="83"/>
              </w:rPr>
              <w:t>)</w:t>
            </w:r>
          </w:p>
        </w:tc>
        <w:tc>
          <w:tcPr>
            <w:tcW w:w="7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color w:val="auto"/>
              </w:rPr>
              <w:t>1,496,541</w:t>
            </w:r>
          </w:p>
        </w:tc>
        <w:tc>
          <w:tcPr>
            <w:tcW w:w="120" w:type="dxa"/>
            <w:vAlign w:val="bottom"/>
          </w:tcPr>
          <w:p>
            <w:pPr>
              <w:spacing w:after="0"/>
              <w:rPr>
                <w:sz w:val="10"/>
                <w:szCs w:val="10"/>
                <w:color w:val="auto"/>
              </w:rPr>
            </w:pPr>
          </w:p>
        </w:tc>
        <w:tc>
          <w:tcPr>
            <w:tcW w:w="5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color w:val="auto"/>
              </w:rPr>
              <w:t>25,362</w:t>
            </w:r>
          </w:p>
        </w:tc>
        <w:tc>
          <w:tcPr>
            <w:tcW w:w="120" w:type="dxa"/>
            <w:vAlign w:val="bottom"/>
          </w:tcPr>
          <w:p>
            <w:pPr>
              <w:spacing w:after="0"/>
              <w:rPr>
                <w:sz w:val="10"/>
                <w:szCs w:val="10"/>
                <w:color w:val="auto"/>
              </w:rPr>
            </w:pPr>
          </w:p>
        </w:tc>
        <w:tc>
          <w:tcPr>
            <w:tcW w:w="660" w:type="dxa"/>
            <w:vAlign w:val="bottom"/>
            <w:tcBorders>
              <w:bottom w:val="single" w:sz="8" w:color="auto"/>
            </w:tcBorders>
          </w:tcPr>
          <w:p>
            <w:pPr>
              <w:ind w:left="260"/>
              <w:spacing w:after="0" w:line="121" w:lineRule="exact"/>
              <w:rPr>
                <w:sz w:val="20"/>
                <w:szCs w:val="20"/>
                <w:color w:val="auto"/>
              </w:rPr>
            </w:pPr>
            <w:r>
              <w:rPr>
                <w:rFonts w:ascii="Times New Roman" w:cs="Times New Roman" w:eastAsia="Times New Roman" w:hAnsi="Times New Roman"/>
                <w:sz w:val="13"/>
                <w:szCs w:val="13"/>
                <w:color w:val="auto"/>
                <w:w w:val="89"/>
              </w:rPr>
              <w:t>317,046</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16"/>
              <w:spacing w:after="0" w:line="121"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color w:val="auto"/>
              </w:rPr>
              <w:t>876,168</w:t>
            </w:r>
          </w:p>
        </w:tc>
        <w:tc>
          <w:tcPr>
            <w:tcW w:w="12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color w:val="auto"/>
              </w:rPr>
              <w:t>(470,987</w:t>
            </w:r>
          </w:p>
        </w:tc>
        <w:tc>
          <w:tcPr>
            <w:tcW w:w="240" w:type="dxa"/>
            <w:vAlign w:val="bottom"/>
          </w:tcPr>
          <w:p>
            <w:pPr>
              <w:jc w:val="right"/>
              <w:ind w:right="163"/>
              <w:spacing w:after="0"/>
              <w:rPr>
                <w:sz w:val="20"/>
                <w:szCs w:val="20"/>
                <w:color w:val="auto"/>
              </w:rPr>
            </w:pPr>
            <w:r>
              <w:rPr>
                <w:rFonts w:ascii="Times New Roman" w:cs="Times New Roman" w:eastAsia="Times New Roman" w:hAnsi="Times New Roman"/>
                <w:sz w:val="7"/>
                <w:szCs w:val="7"/>
                <w:color w:val="auto"/>
                <w:w w:val="83"/>
              </w:rPr>
              <w:t>)</w:t>
            </w: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b w:val="1"/>
                <w:bCs w:val="1"/>
                <w:color w:val="auto"/>
              </w:rPr>
              <w:t>Shareholders’ equity</w:t>
            </w: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Common shares</w:t>
            </w:r>
          </w:p>
        </w:tc>
        <w:tc>
          <w:tcPr>
            <w:tcW w:w="660" w:type="dxa"/>
            <w:vAlign w:val="bottom"/>
            <w:gridSpan w:val="3"/>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129,989</w:t>
            </w:r>
          </w:p>
        </w:tc>
        <w:tc>
          <w:tcPr>
            <w:tcW w:w="7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44,766</w:t>
            </w:r>
          </w:p>
        </w:tc>
        <w:tc>
          <w:tcPr>
            <w:tcW w:w="880" w:type="dxa"/>
            <w:vAlign w:val="bottom"/>
            <w:gridSpan w:val="2"/>
          </w:tcPr>
          <w:p>
            <w:pPr>
              <w:jc w:val="right"/>
              <w:ind w:right="43"/>
              <w:spacing w:after="0" w:line="133" w:lineRule="exact"/>
              <w:rPr>
                <w:sz w:val="20"/>
                <w:szCs w:val="20"/>
                <w:color w:val="auto"/>
              </w:rPr>
            </w:pPr>
            <w:r>
              <w:rPr>
                <w:rFonts w:ascii="Times New Roman" w:cs="Times New Roman" w:eastAsia="Times New Roman" w:hAnsi="Times New Roman"/>
                <w:sz w:val="13"/>
                <w:szCs w:val="13"/>
                <w:color w:val="auto"/>
              </w:rPr>
              <w:t>(174,755)</w:t>
            </w:r>
            <w:r>
              <w:rPr>
                <w:rFonts w:ascii="Times New Roman" w:cs="Times New Roman" w:eastAsia="Times New Roman" w:hAnsi="Times New Roman"/>
                <w:sz w:val="9"/>
                <w:szCs w:val="9"/>
                <w:color w:val="auto"/>
              </w:rPr>
              <w:t>(ii)</w:t>
            </w:r>
          </w:p>
        </w:tc>
        <w:tc>
          <w:tcPr>
            <w:tcW w:w="86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129,989</w:t>
            </w: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44,766</w:t>
            </w:r>
          </w:p>
        </w:tc>
        <w:tc>
          <w:tcPr>
            <w:tcW w:w="900" w:type="dxa"/>
            <w:vAlign w:val="bottom"/>
            <w:gridSpan w:val="2"/>
          </w:tcPr>
          <w:p>
            <w:pPr>
              <w:jc w:val="right"/>
              <w:ind w:right="43"/>
              <w:spacing w:after="0" w:line="133" w:lineRule="exact"/>
              <w:rPr>
                <w:sz w:val="20"/>
                <w:szCs w:val="20"/>
                <w:color w:val="auto"/>
              </w:rPr>
            </w:pPr>
            <w:r>
              <w:rPr>
                <w:rFonts w:ascii="Times New Roman" w:cs="Times New Roman" w:eastAsia="Times New Roman" w:hAnsi="Times New Roman"/>
                <w:sz w:val="13"/>
                <w:szCs w:val="13"/>
                <w:color w:val="auto"/>
              </w:rPr>
              <w:t>(174,755)</w:t>
            </w:r>
            <w:r>
              <w:rPr>
                <w:rFonts w:ascii="Times New Roman" w:cs="Times New Roman" w:eastAsia="Times New Roman" w:hAnsi="Times New Roman"/>
                <w:sz w:val="9"/>
                <w:szCs w:val="9"/>
                <w:color w:val="auto"/>
              </w:rPr>
              <w:t>(ii)</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Class A common shares</w:t>
            </w:r>
          </w:p>
        </w:tc>
        <w:tc>
          <w:tcPr>
            <w:tcW w:w="56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63"/>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62</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62</w:t>
            </w:r>
          </w:p>
        </w:tc>
        <w:tc>
          <w:tcPr>
            <w:tcW w:w="780" w:type="dxa"/>
            <w:vAlign w:val="bottom"/>
            <w:gridSpan w:val="2"/>
            <w:shd w:val="clear" w:color="auto" w:fill="CCEEFF"/>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3"/>
              <w:spacing w:after="0" w:line="13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Class B common shares</w:t>
            </w:r>
          </w:p>
        </w:tc>
        <w:tc>
          <w:tcPr>
            <w:tcW w:w="56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1"/>
                <w:szCs w:val="11"/>
                <w:color w:val="auto"/>
              </w:rPr>
            </w:pP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63"/>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10</w:t>
            </w:r>
          </w:p>
        </w:tc>
        <w:tc>
          <w:tcPr>
            <w:tcW w:w="78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3"/>
              <w:spacing w:after="0" w:line="13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Treasury stock</w:t>
            </w:r>
          </w:p>
        </w:tc>
        <w:tc>
          <w:tcPr>
            <w:tcW w:w="66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(9,545)</w:t>
            </w:r>
          </w:p>
        </w:tc>
        <w:tc>
          <w:tcPr>
            <w:tcW w:w="8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63"/>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(9,545)</w:t>
            </w:r>
          </w:p>
        </w:tc>
        <w:tc>
          <w:tcPr>
            <w:tcW w:w="6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(15,306)</w:t>
            </w:r>
          </w:p>
        </w:tc>
        <w:tc>
          <w:tcPr>
            <w:tcW w:w="780" w:type="dxa"/>
            <w:vAlign w:val="bottom"/>
            <w:gridSpan w:val="2"/>
            <w:shd w:val="clear" w:color="auto" w:fill="CCEEFF"/>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3"/>
              <w:spacing w:after="0" w:line="13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Additional paid-in capital</w:t>
            </w:r>
          </w:p>
        </w:tc>
        <w:tc>
          <w:tcPr>
            <w:tcW w:w="56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896,772</w:t>
            </w: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511,805</w:t>
            </w:r>
          </w:p>
        </w:tc>
        <w:tc>
          <w:tcPr>
            <w:tcW w:w="6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504,922</w:t>
            </w:r>
          </w:p>
        </w:tc>
        <w:tc>
          <w:tcPr>
            <w:tcW w:w="7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460,157</w:t>
            </w:r>
          </w:p>
        </w:tc>
        <w:tc>
          <w:tcPr>
            <w:tcW w:w="880" w:type="dxa"/>
            <w:vAlign w:val="bottom"/>
            <w:gridSpan w:val="2"/>
          </w:tcPr>
          <w:p>
            <w:pPr>
              <w:jc w:val="right"/>
              <w:ind w:right="43"/>
              <w:spacing w:after="0" w:line="133" w:lineRule="exact"/>
              <w:rPr>
                <w:sz w:val="20"/>
                <w:szCs w:val="20"/>
                <w:color w:val="auto"/>
              </w:rPr>
            </w:pPr>
            <w:r>
              <w:rPr>
                <w:rFonts w:ascii="Times New Roman" w:cs="Times New Roman" w:eastAsia="Times New Roman" w:hAnsi="Times New Roman"/>
                <w:sz w:val="13"/>
                <w:szCs w:val="13"/>
                <w:color w:val="auto"/>
              </w:rPr>
              <w:t>(1,476,884)</w:t>
            </w:r>
            <w:r>
              <w:rPr>
                <w:rFonts w:ascii="Times New Roman" w:cs="Times New Roman" w:eastAsia="Times New Roman" w:hAnsi="Times New Roman"/>
                <w:sz w:val="9"/>
                <w:szCs w:val="9"/>
                <w:color w:val="auto"/>
              </w:rPr>
              <w:t>(ii)</w:t>
            </w:r>
          </w:p>
        </w:tc>
        <w:tc>
          <w:tcPr>
            <w:tcW w:w="8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896,772</w:t>
            </w:r>
          </w:p>
        </w:tc>
        <w:tc>
          <w:tcPr>
            <w:tcW w:w="6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904,935</w:t>
            </w:r>
          </w:p>
        </w:tc>
        <w:tc>
          <w:tcPr>
            <w:tcW w:w="7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522,532</w:t>
            </w:r>
          </w:p>
        </w:tc>
        <w:tc>
          <w:tcPr>
            <w:tcW w:w="6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515,318</w:t>
            </w: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470,553</w:t>
            </w:r>
          </w:p>
        </w:tc>
        <w:tc>
          <w:tcPr>
            <w:tcW w:w="900" w:type="dxa"/>
            <w:vAlign w:val="bottom"/>
            <w:gridSpan w:val="2"/>
          </w:tcPr>
          <w:p>
            <w:pPr>
              <w:jc w:val="right"/>
              <w:ind w:right="43"/>
              <w:spacing w:after="0" w:line="133" w:lineRule="exact"/>
              <w:rPr>
                <w:sz w:val="20"/>
                <w:szCs w:val="20"/>
                <w:color w:val="auto"/>
              </w:rPr>
            </w:pPr>
            <w:r>
              <w:rPr>
                <w:rFonts w:ascii="Times New Roman" w:cs="Times New Roman" w:eastAsia="Times New Roman" w:hAnsi="Times New Roman"/>
                <w:sz w:val="13"/>
                <w:szCs w:val="13"/>
                <w:color w:val="auto"/>
              </w:rPr>
              <w:t>(1,508,403)</w:t>
            </w:r>
            <w:r>
              <w:rPr>
                <w:rFonts w:ascii="Times New Roman" w:cs="Times New Roman" w:eastAsia="Times New Roman" w:hAnsi="Times New Roman"/>
                <w:sz w:val="9"/>
                <w:szCs w:val="9"/>
                <w:color w:val="auto"/>
              </w:rPr>
              <w:t>(ii)</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Accumulated other comprehensive</w:t>
            </w:r>
          </w:p>
        </w:tc>
        <w:tc>
          <w:tcPr>
            <w:tcW w:w="6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(27,295)</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2,196</w:t>
            </w: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rPr>
              <w:t>(2,198)</w:t>
            </w:r>
            <w:r>
              <w:rPr>
                <w:rFonts w:ascii="Times New Roman" w:cs="Times New Roman" w:eastAsia="Times New Roman" w:hAnsi="Times New Roman"/>
                <w:sz w:val="9"/>
                <w:szCs w:val="9"/>
                <w:color w:val="auto"/>
              </w:rPr>
              <w:t>(ii)</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(27,295)</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(17,695)</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(12,128)</w:t>
            </w: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3"/>
                <w:szCs w:val="13"/>
                <w:color w:val="auto"/>
              </w:rPr>
              <w:t>12,128</w:t>
            </w:r>
            <w:r>
              <w:rPr>
                <w:rFonts w:ascii="Times New Roman" w:cs="Times New Roman" w:eastAsia="Times New Roman" w:hAnsi="Times New Roman"/>
                <w:sz w:val="9"/>
                <w:szCs w:val="9"/>
                <w:color w:val="auto"/>
              </w:rPr>
              <w:t>(ii)</w:t>
            </w: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660" w:type="dxa"/>
            <w:vAlign w:val="bottom"/>
            <w:gridSpan w:val="3"/>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Accumulated (deficit)/equity</w:t>
            </w:r>
          </w:p>
        </w:tc>
        <w:tc>
          <w:tcPr>
            <w:tcW w:w="660" w:type="dxa"/>
            <w:vAlign w:val="bottom"/>
            <w:gridSpan w:val="3"/>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(499,940)</w:t>
            </w:r>
          </w:p>
        </w:tc>
        <w:tc>
          <w:tcPr>
            <w:tcW w:w="8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(437,971)</w:t>
            </w:r>
          </w:p>
        </w:tc>
        <w:tc>
          <w:tcPr>
            <w:tcW w:w="6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(395,798)</w:t>
            </w:r>
          </w:p>
        </w:tc>
        <w:tc>
          <w:tcPr>
            <w:tcW w:w="7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(395,751)</w:t>
            </w:r>
          </w:p>
        </w:tc>
        <w:tc>
          <w:tcPr>
            <w:tcW w:w="880" w:type="dxa"/>
            <w:vAlign w:val="bottom"/>
            <w:gridSpan w:val="2"/>
          </w:tcPr>
          <w:p>
            <w:pPr>
              <w:jc w:val="right"/>
              <w:ind w:right="83"/>
              <w:spacing w:after="0" w:line="133" w:lineRule="exact"/>
              <w:rPr>
                <w:sz w:val="20"/>
                <w:szCs w:val="20"/>
                <w:color w:val="auto"/>
              </w:rPr>
            </w:pPr>
            <w:r>
              <w:rPr>
                <w:rFonts w:ascii="Times New Roman" w:cs="Times New Roman" w:eastAsia="Times New Roman" w:hAnsi="Times New Roman"/>
                <w:sz w:val="13"/>
                <w:szCs w:val="13"/>
                <w:color w:val="auto"/>
              </w:rPr>
              <w:t>1,229,520</w:t>
            </w:r>
            <w:r>
              <w:rPr>
                <w:rFonts w:ascii="Times New Roman" w:cs="Times New Roman" w:eastAsia="Times New Roman" w:hAnsi="Times New Roman"/>
                <w:sz w:val="9"/>
                <w:szCs w:val="9"/>
                <w:color w:val="auto"/>
              </w:rPr>
              <w:t>(ii)</w:t>
            </w:r>
          </w:p>
        </w:tc>
        <w:tc>
          <w:tcPr>
            <w:tcW w:w="8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(499,940)</w:t>
            </w:r>
          </w:p>
        </w:tc>
        <w:tc>
          <w:tcPr>
            <w:tcW w:w="6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(531,127)</w:t>
            </w:r>
          </w:p>
        </w:tc>
        <w:tc>
          <w:tcPr>
            <w:tcW w:w="7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(466,097)</w:t>
            </w:r>
          </w:p>
        </w:tc>
        <w:tc>
          <w:tcPr>
            <w:tcW w:w="6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(407,694)</w:t>
            </w:r>
          </w:p>
        </w:tc>
        <w:tc>
          <w:tcPr>
            <w:tcW w:w="7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(407,361)</w:t>
            </w:r>
          </w:p>
        </w:tc>
        <w:tc>
          <w:tcPr>
            <w:tcW w:w="900" w:type="dxa"/>
            <w:vAlign w:val="bottom"/>
            <w:gridSpan w:val="2"/>
          </w:tcPr>
          <w:p>
            <w:pPr>
              <w:jc w:val="right"/>
              <w:ind w:right="83"/>
              <w:spacing w:after="0" w:line="133" w:lineRule="exact"/>
              <w:rPr>
                <w:sz w:val="20"/>
                <w:szCs w:val="20"/>
                <w:color w:val="auto"/>
              </w:rPr>
            </w:pPr>
            <w:r>
              <w:rPr>
                <w:rFonts w:ascii="Times New Roman" w:cs="Times New Roman" w:eastAsia="Times New Roman" w:hAnsi="Times New Roman"/>
                <w:sz w:val="13"/>
                <w:szCs w:val="13"/>
                <w:color w:val="auto"/>
              </w:rPr>
              <w:t>1,281,152</w:t>
            </w:r>
            <w:r>
              <w:rPr>
                <w:rFonts w:ascii="Times New Roman" w:cs="Times New Roman" w:eastAsia="Times New Roman" w:hAnsi="Times New Roman"/>
                <w:sz w:val="9"/>
                <w:szCs w:val="9"/>
                <w:color w:val="auto"/>
              </w:rPr>
              <w:t>(ii)</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Total shareholders’ equity</w:t>
            </w: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3"/>
                <w:szCs w:val="13"/>
                <w:b w:val="1"/>
                <w:bCs w:val="1"/>
                <w:color w:val="auto"/>
              </w:rPr>
              <w:t>attributable to Huize Holding</w:t>
            </w:r>
          </w:p>
        </w:tc>
        <w:tc>
          <w:tcPr>
            <w:tcW w:w="5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360,064</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76,030</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239,113</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109,172</w:t>
            </w:r>
          </w:p>
        </w:tc>
        <w:tc>
          <w:tcPr>
            <w:tcW w:w="880" w:type="dxa"/>
            <w:vAlign w:val="bottom"/>
            <w:gridSpan w:val="2"/>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3"/>
                <w:szCs w:val="13"/>
                <w:color w:val="auto"/>
              </w:rPr>
              <w:t>(424,315)</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360,064</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340,879</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44,307</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237,613</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107,958</w:t>
            </w:r>
          </w:p>
        </w:tc>
        <w:tc>
          <w:tcPr>
            <w:tcW w:w="900" w:type="dxa"/>
            <w:vAlign w:val="bottom"/>
            <w:gridSpan w:val="2"/>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3"/>
                <w:szCs w:val="13"/>
                <w:color w:val="auto"/>
              </w:rPr>
              <w:t>(389,878)</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Limited shareholders</w:t>
            </w:r>
          </w:p>
        </w:tc>
        <w:tc>
          <w:tcPr>
            <w:tcW w:w="5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Non-controlling interests</w:t>
            </w: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849</w:t>
            </w:r>
          </w:p>
        </w:tc>
        <w:tc>
          <w:tcPr>
            <w:tcW w:w="12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849</w:t>
            </w:r>
          </w:p>
        </w:tc>
        <w:tc>
          <w:tcPr>
            <w:tcW w:w="120" w:type="dxa"/>
            <w:vAlign w:val="bottom"/>
          </w:tcPr>
          <w:p>
            <w:pPr>
              <w:spacing w:after="0"/>
              <w:rPr>
                <w:sz w:val="11"/>
                <w:szCs w:val="11"/>
                <w:color w:val="auto"/>
              </w:rPr>
            </w:pPr>
          </w:p>
        </w:tc>
        <w:tc>
          <w:tcPr>
            <w:tcW w:w="54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1,146</w:t>
            </w:r>
          </w:p>
        </w:tc>
        <w:tc>
          <w:tcPr>
            <w:tcW w:w="900" w:type="dxa"/>
            <w:vAlign w:val="bottom"/>
            <w:gridSpan w:val="2"/>
          </w:tcPr>
          <w:p>
            <w:pPr>
              <w:jc w:val="right"/>
              <w:ind w:right="263"/>
              <w:spacing w:after="0" w:line="13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360,064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76,030</w:t>
            </w:r>
          </w:p>
        </w:tc>
        <w:tc>
          <w:tcPr>
            <w:tcW w:w="6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293,113</w:t>
            </w:r>
          </w:p>
        </w:tc>
        <w:tc>
          <w:tcPr>
            <w:tcW w:w="7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110,021</w:t>
            </w:r>
          </w:p>
        </w:tc>
        <w:tc>
          <w:tcPr>
            <w:tcW w:w="880" w:type="dxa"/>
            <w:vAlign w:val="bottom"/>
            <w:gridSpan w:val="2"/>
            <w:shd w:val="clear" w:color="auto" w:fill="CCEEFF"/>
          </w:tcPr>
          <w:p>
            <w:pPr>
              <w:jc w:val="right"/>
              <w:ind w:right="163"/>
              <w:spacing w:after="0" w:line="133" w:lineRule="exact"/>
              <w:rPr>
                <w:sz w:val="20"/>
                <w:szCs w:val="20"/>
                <w:color w:val="auto"/>
              </w:rPr>
            </w:pPr>
            <w:r>
              <w:rPr>
                <w:rFonts w:ascii="Times New Roman" w:cs="Times New Roman" w:eastAsia="Times New Roman" w:hAnsi="Times New Roman"/>
                <w:sz w:val="13"/>
                <w:szCs w:val="13"/>
                <w:color w:val="auto"/>
              </w:rPr>
              <w:t>(424,315)</w:t>
            </w:r>
          </w:p>
        </w:tc>
        <w:tc>
          <w:tcPr>
            <w:tcW w:w="8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360,913</w:t>
            </w:r>
          </w:p>
        </w:tc>
        <w:tc>
          <w:tcPr>
            <w:tcW w:w="6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340,879</w:t>
            </w:r>
          </w:p>
        </w:tc>
        <w:tc>
          <w:tcPr>
            <w:tcW w:w="7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44,307</w:t>
            </w:r>
          </w:p>
        </w:tc>
        <w:tc>
          <w:tcPr>
            <w:tcW w:w="6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237,613</w:t>
            </w:r>
          </w:p>
        </w:tc>
        <w:tc>
          <w:tcPr>
            <w:tcW w:w="7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109,104</w:t>
            </w:r>
          </w:p>
        </w:tc>
        <w:tc>
          <w:tcPr>
            <w:tcW w:w="900" w:type="dxa"/>
            <w:vAlign w:val="bottom"/>
            <w:gridSpan w:val="2"/>
            <w:shd w:val="clear" w:color="auto" w:fill="CCEEFF"/>
          </w:tcPr>
          <w:p>
            <w:pPr>
              <w:jc w:val="right"/>
              <w:ind w:right="163"/>
              <w:spacing w:after="0" w:line="133" w:lineRule="exact"/>
              <w:rPr>
                <w:sz w:val="20"/>
                <w:szCs w:val="20"/>
                <w:color w:val="auto"/>
              </w:rPr>
            </w:pPr>
            <w:r>
              <w:rPr>
                <w:rFonts w:ascii="Times New Roman" w:cs="Times New Roman" w:eastAsia="Times New Roman" w:hAnsi="Times New Roman"/>
                <w:sz w:val="13"/>
                <w:szCs w:val="13"/>
                <w:color w:val="auto"/>
              </w:rPr>
              <w:t>(389,878)</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40" w:type="dxa"/>
            <w:vAlign w:val="bottom"/>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Total liabilities and shareholders’</w:t>
            </w: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384,093</w:t>
            </w:r>
          </w:p>
        </w:tc>
        <w:tc>
          <w:tcPr>
            <w:tcW w:w="100" w:type="dxa"/>
            <w:vAlign w:val="bottom"/>
          </w:tcPr>
          <w:p>
            <w:pPr>
              <w:spacing w:after="0"/>
              <w:rPr>
                <w:sz w:val="9"/>
                <w:szCs w:val="9"/>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375,566</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244,245</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1,729,697</w:t>
            </w:r>
          </w:p>
        </w:tc>
        <w:tc>
          <w:tcPr>
            <w:tcW w:w="880" w:type="dxa"/>
            <w:vAlign w:val="bottom"/>
            <w:gridSpan w:val="2"/>
            <w:vMerge w:val="restart"/>
          </w:tcPr>
          <w:p>
            <w:pPr>
              <w:jc w:val="right"/>
              <w:ind w:right="163"/>
              <w:spacing w:after="0"/>
              <w:rPr>
                <w:sz w:val="20"/>
                <w:szCs w:val="20"/>
                <w:color w:val="auto"/>
              </w:rPr>
            </w:pPr>
            <w:r>
              <w:rPr>
                <w:rFonts w:ascii="Times New Roman" w:cs="Times New Roman" w:eastAsia="Times New Roman" w:hAnsi="Times New Roman"/>
                <w:sz w:val="13"/>
                <w:szCs w:val="13"/>
                <w:color w:val="auto"/>
              </w:rPr>
              <w:t>(876,147)</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1,857,454</w:t>
            </w:r>
          </w:p>
        </w:tc>
        <w:tc>
          <w:tcPr>
            <w:tcW w:w="12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366,241</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361,353</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237,613</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985,272</w:t>
            </w:r>
          </w:p>
        </w:tc>
        <w:tc>
          <w:tcPr>
            <w:tcW w:w="900" w:type="dxa"/>
            <w:vAlign w:val="bottom"/>
            <w:gridSpan w:val="2"/>
            <w:vMerge w:val="restart"/>
          </w:tcPr>
          <w:p>
            <w:pPr>
              <w:jc w:val="right"/>
              <w:ind w:right="163"/>
              <w:spacing w:after="0"/>
              <w:rPr>
                <w:sz w:val="20"/>
                <w:szCs w:val="20"/>
                <w:color w:val="auto"/>
              </w:rPr>
            </w:pPr>
            <w:r>
              <w:rPr>
                <w:rFonts w:ascii="Times New Roman" w:cs="Times New Roman" w:eastAsia="Times New Roman" w:hAnsi="Times New Roman"/>
                <w:sz w:val="13"/>
                <w:szCs w:val="13"/>
                <w:color w:val="auto"/>
              </w:rPr>
              <w:t>(860,865)</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92075</wp:posOffset>
            </wp:positionV>
            <wp:extent cx="68897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8975" cy="7620"/>
                    </a:xfrm>
                    <a:prstGeom prst="rect">
                      <a:avLst/>
                    </a:prstGeom>
                    <a:noFill/>
                  </pic:spPr>
                </pic:pic>
              </a:graphicData>
            </a:graphic>
          </wp:anchor>
        </w:drawing>
      </w:r>
    </w:p>
    <w:p>
      <w:pPr>
        <w:spacing w:after="0" w:line="150" w:lineRule="exact"/>
        <w:rPr>
          <w:sz w:val="20"/>
          <w:szCs w:val="20"/>
          <w:color w:val="auto"/>
        </w:rPr>
      </w:pPr>
    </w:p>
    <w:p>
      <w:pPr>
        <w:ind w:left="700"/>
        <w:spacing w:after="0"/>
        <w:tabs>
          <w:tab w:leader="none" w:pos="1220" w:val="left"/>
          <w:tab w:leader="none" w:pos="1480" w:val="left"/>
        </w:tabs>
        <w:rPr>
          <w:sz w:val="20"/>
          <w:szCs w:val="20"/>
          <w:color w:val="auto"/>
        </w:rPr>
      </w:pPr>
      <w:r>
        <w:rPr>
          <w:rFonts w:ascii="Times New Roman" w:cs="Times New Roman" w:eastAsia="Times New Roman" w:hAnsi="Times New Roman"/>
          <w:sz w:val="13"/>
          <w:szCs w:val="13"/>
          <w:color w:val="auto"/>
        </w:rPr>
        <w:t>Note 2:</w:t>
        <w:tab/>
        <w:t>(i)</w:t>
      </w:r>
      <w:r>
        <w:rPr>
          <w:sz w:val="20"/>
          <w:szCs w:val="20"/>
          <w:color w:val="auto"/>
        </w:rPr>
        <w:tab/>
      </w:r>
      <w:r>
        <w:rPr>
          <w:rFonts w:ascii="Times New Roman" w:cs="Times New Roman" w:eastAsia="Times New Roman" w:hAnsi="Times New Roman"/>
          <w:sz w:val="12"/>
          <w:szCs w:val="12"/>
          <w:color w:val="auto"/>
        </w:rPr>
        <w:t>The elimination mainly represents inter-company loans that the parent company grant to the subsidiaries of the parent company.</w:t>
      </w:r>
    </w:p>
    <w:p>
      <w:pPr>
        <w:ind w:left="1220"/>
        <w:spacing w:after="0"/>
        <w:tabs>
          <w:tab w:leader="none" w:pos="1480" w:val="left"/>
        </w:tabs>
        <w:rPr>
          <w:sz w:val="20"/>
          <w:szCs w:val="20"/>
          <w:color w:val="auto"/>
        </w:rPr>
      </w:pPr>
      <w:r>
        <w:rPr>
          <w:rFonts w:ascii="Times New Roman" w:cs="Times New Roman" w:eastAsia="Times New Roman" w:hAnsi="Times New Roman"/>
          <w:sz w:val="13"/>
          <w:szCs w:val="13"/>
          <w:color w:val="auto"/>
        </w:rPr>
        <w:t>(ii)</w:t>
      </w:r>
      <w:r>
        <w:rPr>
          <w:sz w:val="20"/>
          <w:szCs w:val="20"/>
          <w:color w:val="auto"/>
        </w:rPr>
        <w:tab/>
      </w:r>
      <w:r>
        <w:rPr>
          <w:rFonts w:ascii="Times New Roman" w:cs="Times New Roman" w:eastAsia="Times New Roman" w:hAnsi="Times New Roman"/>
          <w:sz w:val="12"/>
          <w:szCs w:val="12"/>
          <w:color w:val="auto"/>
        </w:rPr>
        <w:t>The elimination represents offsetting entries for investment of the parent company against the equities of the subsidiaries of parent company and the VIE.</w:t>
      </w: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Selected Condensed Consolidated Cash Flows Information</w:t>
      </w:r>
    </w:p>
    <w:p>
      <w:pPr>
        <w:spacing w:after="0" w:line="233" w:lineRule="exact"/>
        <w:rPr>
          <w:sz w:val="20"/>
          <w:szCs w:val="20"/>
          <w:color w:val="auto"/>
        </w:rPr>
      </w:pPr>
    </w:p>
    <w:tbl>
      <w:tblPr>
        <w:tblLayout w:type="fixed"/>
        <w:tblInd w:w="700" w:type="dxa"/>
        <w:tblCellMar>
          <w:top w:w="0" w:type="dxa"/>
          <w:left w:w="0" w:type="dxa"/>
          <w:bottom w:w="0" w:type="dxa"/>
          <w:right w:w="0" w:type="dxa"/>
        </w:tblCellMar>
      </w:tblPr>
      <w:tr>
        <w:trPr>
          <w:trHeight w:val="122"/>
        </w:trPr>
        <w:tc>
          <w:tcPr>
            <w:tcW w:w="9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7"/>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For the Year Ended December 31, 2020</w:t>
            </w: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7"/>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For the Year Ended December 31, 2021</w:t>
            </w: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7"/>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For the Year Ended December 31, 2022</w:t>
            </w: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9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tcPr>
          <w:p>
            <w:pPr>
              <w:jc w:val="right"/>
              <w:ind w:right="80"/>
              <w:spacing w:after="0" w:line="87" w:lineRule="exact"/>
              <w:rPr>
                <w:sz w:val="20"/>
                <w:szCs w:val="20"/>
                <w:color w:val="auto"/>
              </w:rPr>
            </w:pPr>
            <w:r>
              <w:rPr>
                <w:rFonts w:ascii="Times New Roman" w:cs="Times New Roman" w:eastAsia="Times New Roman" w:hAnsi="Times New Roman"/>
                <w:sz w:val="10"/>
                <w:szCs w:val="10"/>
                <w:b w:val="1"/>
                <w:bCs w:val="1"/>
                <w:color w:val="auto"/>
                <w:w w:val="91"/>
              </w:rPr>
              <w:t>Subsidiaries</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center"/>
              <w:ind w:right="80"/>
              <w:spacing w:after="0" w:line="87" w:lineRule="exact"/>
              <w:rPr>
                <w:sz w:val="20"/>
                <w:szCs w:val="20"/>
                <w:color w:val="auto"/>
              </w:rPr>
            </w:pPr>
            <w:r>
              <w:rPr>
                <w:rFonts w:ascii="Times New Roman" w:cs="Times New Roman" w:eastAsia="Times New Roman" w:hAnsi="Times New Roman"/>
                <w:sz w:val="10"/>
                <w:szCs w:val="10"/>
                <w:b w:val="1"/>
                <w:bCs w:val="1"/>
                <w:color w:val="auto"/>
                <w:w w:val="99"/>
              </w:rPr>
              <w:t>Subsidiaries</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tcPr>
          <w:p>
            <w:pPr>
              <w:jc w:val="right"/>
              <w:ind w:right="80"/>
              <w:spacing w:after="0" w:line="87" w:lineRule="exact"/>
              <w:rPr>
                <w:sz w:val="20"/>
                <w:szCs w:val="20"/>
                <w:color w:val="auto"/>
              </w:rPr>
            </w:pPr>
            <w:r>
              <w:rPr>
                <w:rFonts w:ascii="Times New Roman" w:cs="Times New Roman" w:eastAsia="Times New Roman" w:hAnsi="Times New Roman"/>
                <w:sz w:val="10"/>
                <w:szCs w:val="10"/>
                <w:b w:val="1"/>
                <w:bCs w:val="1"/>
                <w:color w:val="auto"/>
                <w:w w:val="95"/>
              </w:rPr>
              <w:t>Subsidiaries</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5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Parent</w:t>
            </w:r>
          </w:p>
        </w:tc>
        <w:tc>
          <w:tcPr>
            <w:tcW w:w="5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of parent</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80"/>
              <w:spacing w:after="0" w:line="109" w:lineRule="exact"/>
              <w:rPr>
                <w:sz w:val="20"/>
                <w:szCs w:val="20"/>
                <w:color w:val="auto"/>
              </w:rPr>
            </w:pPr>
            <w:r>
              <w:rPr>
                <w:rFonts w:ascii="Times New Roman" w:cs="Times New Roman" w:eastAsia="Times New Roman" w:hAnsi="Times New Roman"/>
                <w:sz w:val="10"/>
                <w:szCs w:val="10"/>
                <w:b w:val="1"/>
                <w:bCs w:val="1"/>
                <w:color w:val="auto"/>
                <w:w w:val="93"/>
              </w:rPr>
              <w:t>VIE and its</w:t>
            </w:r>
          </w:p>
        </w:tc>
        <w:tc>
          <w:tcPr>
            <w:tcW w:w="50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w w:val="94"/>
              </w:rPr>
              <w:t>Elimination</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Parent</w:t>
            </w:r>
          </w:p>
        </w:tc>
        <w:tc>
          <w:tcPr>
            <w:tcW w:w="600" w:type="dxa"/>
            <w:vAlign w:val="bottom"/>
            <w:gridSpan w:val="2"/>
          </w:tcPr>
          <w:p>
            <w:pPr>
              <w:jc w:val="center"/>
              <w:ind w:right="80"/>
              <w:spacing w:after="0" w:line="109" w:lineRule="exact"/>
              <w:rPr>
                <w:sz w:val="20"/>
                <w:szCs w:val="20"/>
                <w:color w:val="auto"/>
              </w:rPr>
            </w:pPr>
            <w:r>
              <w:rPr>
                <w:rFonts w:ascii="Times New Roman" w:cs="Times New Roman" w:eastAsia="Times New Roman" w:hAnsi="Times New Roman"/>
                <w:sz w:val="10"/>
                <w:szCs w:val="10"/>
                <w:b w:val="1"/>
                <w:bCs w:val="1"/>
                <w:color w:val="auto"/>
                <w:w w:val="91"/>
              </w:rPr>
              <w:t>of parent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8"/>
              </w:rPr>
              <w:t>VIE and its</w:t>
            </w:r>
          </w:p>
        </w:tc>
        <w:tc>
          <w:tcPr>
            <w:tcW w:w="4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w w:val="90"/>
              </w:rPr>
              <w:t>Elimination</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ind w:right="32"/>
              <w:spacing w:after="0" w:line="109" w:lineRule="exact"/>
              <w:rPr>
                <w:sz w:val="20"/>
                <w:szCs w:val="20"/>
                <w:color w:val="auto"/>
              </w:rPr>
            </w:pPr>
            <w:r>
              <w:rPr>
                <w:rFonts w:ascii="Times New Roman" w:cs="Times New Roman" w:eastAsia="Times New Roman" w:hAnsi="Times New Roman"/>
                <w:sz w:val="10"/>
                <w:szCs w:val="10"/>
                <w:b w:val="1"/>
                <w:bCs w:val="1"/>
                <w:color w:val="auto"/>
              </w:rPr>
              <w:t>Parent</w:t>
            </w: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of parent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center"/>
              <w:ind w:right="80"/>
              <w:spacing w:after="0" w:line="109" w:lineRule="exact"/>
              <w:rPr>
                <w:sz w:val="20"/>
                <w:szCs w:val="20"/>
                <w:color w:val="auto"/>
              </w:rPr>
            </w:pPr>
            <w:r>
              <w:rPr>
                <w:rFonts w:ascii="Times New Roman" w:cs="Times New Roman" w:eastAsia="Times New Roman" w:hAnsi="Times New Roman"/>
                <w:sz w:val="10"/>
                <w:szCs w:val="10"/>
                <w:b w:val="1"/>
                <w:bCs w:val="1"/>
                <w:color w:val="auto"/>
                <w:w w:val="98"/>
              </w:rPr>
              <w:t>VIE and its</w:t>
            </w:r>
          </w:p>
        </w:tc>
        <w:tc>
          <w:tcPr>
            <w:tcW w:w="50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w w:val="94"/>
              </w:rPr>
              <w:t>Elimination</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50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7"/>
              </w:rPr>
              <w:t>company</w:t>
            </w:r>
          </w:p>
        </w:tc>
        <w:tc>
          <w:tcPr>
            <w:tcW w:w="5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company</w:t>
            </w:r>
          </w:p>
        </w:tc>
        <w:tc>
          <w:tcPr>
            <w:tcW w:w="5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WFOE</w:t>
            </w:r>
          </w:p>
        </w:tc>
        <w:tc>
          <w:tcPr>
            <w:tcW w:w="580" w:type="dxa"/>
            <w:vAlign w:val="bottom"/>
            <w:gridSpan w:val="2"/>
          </w:tcPr>
          <w:p>
            <w:pPr>
              <w:jc w:val="center"/>
              <w:ind w:right="80"/>
              <w:spacing w:after="0" w:line="109" w:lineRule="exact"/>
              <w:rPr>
                <w:sz w:val="20"/>
                <w:szCs w:val="20"/>
                <w:color w:val="auto"/>
              </w:rPr>
            </w:pPr>
            <w:r>
              <w:rPr>
                <w:rFonts w:ascii="Times New Roman" w:cs="Times New Roman" w:eastAsia="Times New Roman" w:hAnsi="Times New Roman"/>
                <w:sz w:val="10"/>
                <w:szCs w:val="10"/>
                <w:b w:val="1"/>
                <w:bCs w:val="1"/>
                <w:color w:val="auto"/>
                <w:w w:val="98"/>
              </w:rPr>
              <w:t>subsidiaries</w:t>
            </w:r>
          </w:p>
        </w:tc>
        <w:tc>
          <w:tcPr>
            <w:tcW w:w="500" w:type="dxa"/>
            <w:vAlign w:val="bottom"/>
          </w:tcPr>
          <w:p>
            <w:pPr>
              <w:jc w:val="right"/>
              <w:ind w:right="32"/>
              <w:spacing w:after="0" w:line="109" w:lineRule="exact"/>
              <w:rPr>
                <w:sz w:val="20"/>
                <w:szCs w:val="20"/>
                <w:color w:val="auto"/>
              </w:rPr>
            </w:pPr>
            <w:r>
              <w:rPr>
                <w:rFonts w:ascii="Times New Roman" w:cs="Times New Roman" w:eastAsia="Times New Roman" w:hAnsi="Times New Roman"/>
                <w:sz w:val="10"/>
                <w:szCs w:val="10"/>
                <w:b w:val="1"/>
                <w:bCs w:val="1"/>
                <w:color w:val="auto"/>
              </w:rPr>
              <w:t>(Note 3)</w:t>
            </w:r>
          </w:p>
        </w:tc>
        <w:tc>
          <w:tcPr>
            <w:tcW w:w="60" w:type="dxa"/>
            <w:vAlign w:val="bottom"/>
          </w:tcPr>
          <w:p>
            <w:pPr>
              <w:spacing w:after="0"/>
              <w:rPr>
                <w:sz w:val="9"/>
                <w:szCs w:val="9"/>
                <w:color w:val="auto"/>
              </w:rPr>
            </w:pPr>
          </w:p>
        </w:tc>
        <w:tc>
          <w:tcPr>
            <w:tcW w:w="64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2"/>
              </w:rPr>
              <w:t>Consolidated</w:t>
            </w:r>
          </w:p>
        </w:tc>
        <w:tc>
          <w:tcPr>
            <w:tcW w:w="4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2"/>
              </w:rPr>
              <w:t>company</w:t>
            </w:r>
          </w:p>
        </w:tc>
        <w:tc>
          <w:tcPr>
            <w:tcW w:w="600" w:type="dxa"/>
            <w:vAlign w:val="bottom"/>
            <w:gridSpan w:val="2"/>
          </w:tcPr>
          <w:p>
            <w:pPr>
              <w:jc w:val="center"/>
              <w:ind w:right="80"/>
              <w:spacing w:after="0" w:line="109" w:lineRule="exact"/>
              <w:rPr>
                <w:sz w:val="20"/>
                <w:szCs w:val="20"/>
                <w:color w:val="auto"/>
              </w:rPr>
            </w:pPr>
            <w:r>
              <w:rPr>
                <w:rFonts w:ascii="Times New Roman" w:cs="Times New Roman" w:eastAsia="Times New Roman" w:hAnsi="Times New Roman"/>
                <w:sz w:val="10"/>
                <w:szCs w:val="10"/>
                <w:b w:val="1"/>
                <w:bCs w:val="1"/>
                <w:color w:val="auto"/>
                <w:w w:val="92"/>
              </w:rPr>
              <w:t>company</w:t>
            </w:r>
          </w:p>
        </w:tc>
        <w:tc>
          <w:tcPr>
            <w:tcW w:w="5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WFOE</w:t>
            </w:r>
          </w:p>
        </w:tc>
        <w:tc>
          <w:tcPr>
            <w:tcW w:w="58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4"/>
              </w:rPr>
              <w:t>subsidiaries</w:t>
            </w:r>
          </w:p>
        </w:tc>
        <w:tc>
          <w:tcPr>
            <w:tcW w:w="480" w:type="dxa"/>
            <w:vAlign w:val="bottom"/>
          </w:tcPr>
          <w:p>
            <w:pPr>
              <w:jc w:val="right"/>
              <w:ind w:right="32"/>
              <w:spacing w:after="0" w:line="109" w:lineRule="exact"/>
              <w:rPr>
                <w:sz w:val="20"/>
                <w:szCs w:val="20"/>
                <w:color w:val="auto"/>
              </w:rPr>
            </w:pPr>
            <w:r>
              <w:rPr>
                <w:rFonts w:ascii="Times New Roman" w:cs="Times New Roman" w:eastAsia="Times New Roman" w:hAnsi="Times New Roman"/>
                <w:sz w:val="10"/>
                <w:szCs w:val="10"/>
                <w:b w:val="1"/>
                <w:bCs w:val="1"/>
                <w:color w:val="auto"/>
              </w:rPr>
              <w:t>(Note 3)</w:t>
            </w:r>
          </w:p>
        </w:tc>
        <w:tc>
          <w:tcPr>
            <w:tcW w:w="80" w:type="dxa"/>
            <w:vAlign w:val="bottom"/>
          </w:tcPr>
          <w:p>
            <w:pPr>
              <w:spacing w:after="0"/>
              <w:rPr>
                <w:sz w:val="9"/>
                <w:szCs w:val="9"/>
                <w:color w:val="auto"/>
              </w:rPr>
            </w:pPr>
          </w:p>
        </w:tc>
        <w:tc>
          <w:tcPr>
            <w:tcW w:w="62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0"/>
                <w:szCs w:val="10"/>
                <w:b w:val="1"/>
                <w:bCs w:val="1"/>
                <w:color w:val="auto"/>
                <w:w w:val="92"/>
              </w:rPr>
              <w:t>Consolidated</w:t>
            </w:r>
          </w:p>
        </w:tc>
        <w:tc>
          <w:tcPr>
            <w:tcW w:w="42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w w:val="97"/>
              </w:rPr>
              <w:t>company</w:t>
            </w: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company</w:t>
            </w:r>
          </w:p>
        </w:tc>
        <w:tc>
          <w:tcPr>
            <w:tcW w:w="5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WFOE</w:t>
            </w:r>
          </w:p>
        </w:tc>
        <w:tc>
          <w:tcPr>
            <w:tcW w:w="560" w:type="dxa"/>
            <w:vAlign w:val="bottom"/>
            <w:gridSpan w:val="2"/>
          </w:tcPr>
          <w:p>
            <w:pPr>
              <w:jc w:val="center"/>
              <w:ind w:right="80"/>
              <w:spacing w:after="0" w:line="109" w:lineRule="exact"/>
              <w:rPr>
                <w:sz w:val="20"/>
                <w:szCs w:val="20"/>
                <w:color w:val="auto"/>
              </w:rPr>
            </w:pPr>
            <w:r>
              <w:rPr>
                <w:rFonts w:ascii="Times New Roman" w:cs="Times New Roman" w:eastAsia="Times New Roman" w:hAnsi="Times New Roman"/>
                <w:sz w:val="10"/>
                <w:szCs w:val="10"/>
                <w:b w:val="1"/>
                <w:bCs w:val="1"/>
                <w:color w:val="auto"/>
                <w:w w:val="94"/>
              </w:rPr>
              <w:t>subsidiaries</w:t>
            </w:r>
          </w:p>
        </w:tc>
        <w:tc>
          <w:tcPr>
            <w:tcW w:w="500" w:type="dxa"/>
            <w:vAlign w:val="bottom"/>
          </w:tcPr>
          <w:p>
            <w:pPr>
              <w:jc w:val="right"/>
              <w:ind w:right="32"/>
              <w:spacing w:after="0" w:line="109" w:lineRule="exact"/>
              <w:rPr>
                <w:sz w:val="20"/>
                <w:szCs w:val="20"/>
                <w:color w:val="auto"/>
              </w:rPr>
            </w:pPr>
            <w:r>
              <w:rPr>
                <w:rFonts w:ascii="Times New Roman" w:cs="Times New Roman" w:eastAsia="Times New Roman" w:hAnsi="Times New Roman"/>
                <w:sz w:val="10"/>
                <w:szCs w:val="10"/>
                <w:b w:val="1"/>
                <w:bCs w:val="1"/>
                <w:color w:val="auto"/>
              </w:rPr>
              <w:t>(Note 3)</w:t>
            </w:r>
          </w:p>
        </w:tc>
        <w:tc>
          <w:tcPr>
            <w:tcW w:w="80" w:type="dxa"/>
            <w:vAlign w:val="bottom"/>
          </w:tcPr>
          <w:p>
            <w:pPr>
              <w:spacing w:after="0"/>
              <w:rPr>
                <w:sz w:val="9"/>
                <w:szCs w:val="9"/>
                <w:color w:val="auto"/>
              </w:rPr>
            </w:pPr>
          </w:p>
        </w:tc>
        <w:tc>
          <w:tcPr>
            <w:tcW w:w="240" w:type="dxa"/>
            <w:vAlign w:val="bottom"/>
          </w:tcPr>
          <w:p>
            <w:pPr>
              <w:spacing w:after="0" w:line="109" w:lineRule="exact"/>
              <w:rPr>
                <w:sz w:val="20"/>
                <w:szCs w:val="20"/>
                <w:color w:val="auto"/>
              </w:rPr>
            </w:pPr>
            <w:r>
              <w:rPr>
                <w:rFonts w:ascii="Times New Roman" w:cs="Times New Roman" w:eastAsia="Times New Roman" w:hAnsi="Times New Roman"/>
                <w:sz w:val="10"/>
                <w:szCs w:val="10"/>
                <w:b w:val="1"/>
                <w:bCs w:val="1"/>
                <w:color w:val="auto"/>
                <w:w w:val="82"/>
              </w:rPr>
              <w:t>Conso</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5"/>
              </w:rPr>
              <w:t>RMB’000</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RMB’000</w:t>
            </w: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6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RMB’000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RMB’000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8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6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RMB’000</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80" w:type="dxa"/>
            <w:vAlign w:val="bottom"/>
          </w:tcPr>
          <w:p>
            <w:pPr>
              <w:spacing w:after="0"/>
              <w:rPr>
                <w:sz w:val="10"/>
                <w:szCs w:val="1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w w:val="95"/>
              </w:rPr>
              <w:t>RM</w:t>
            </w:r>
          </w:p>
        </w:tc>
        <w:tc>
          <w:tcPr>
            <w:tcW w:w="0" w:type="dxa"/>
            <w:vAlign w:val="bottom"/>
          </w:tcPr>
          <w:p>
            <w:pPr>
              <w:spacing w:after="0"/>
              <w:rPr>
                <w:sz w:val="1"/>
                <w:szCs w:val="1"/>
                <w:color w:val="auto"/>
              </w:rPr>
            </w:pPr>
          </w:p>
        </w:tc>
      </w:tr>
      <w:tr>
        <w:trPr>
          <w:trHeight w:val="75"/>
        </w:trPr>
        <w:tc>
          <w:tcPr>
            <w:tcW w:w="980" w:type="dxa"/>
            <w:vAlign w:val="bottom"/>
            <w:tcBorders>
              <w:top w:val="single" w:sz="8" w:color="CCEEFF"/>
            </w:tcBorders>
            <w:shd w:val="clear" w:color="auto" w:fill="CCEEFF"/>
          </w:tcPr>
          <w:p>
            <w:pPr>
              <w:spacing w:after="0" w:line="75" w:lineRule="exact"/>
              <w:rPr>
                <w:sz w:val="20"/>
                <w:szCs w:val="20"/>
                <w:color w:val="auto"/>
              </w:rPr>
            </w:pPr>
            <w:r>
              <w:rPr>
                <w:rFonts w:ascii="Times New Roman" w:cs="Times New Roman" w:eastAsia="Times New Roman" w:hAnsi="Times New Roman"/>
                <w:sz w:val="8"/>
                <w:szCs w:val="8"/>
                <w:b w:val="1"/>
                <w:bCs w:val="1"/>
                <w:color w:val="auto"/>
              </w:rPr>
              <w:t>Net cash provided</w:t>
            </w:r>
          </w:p>
        </w:tc>
        <w:tc>
          <w:tcPr>
            <w:tcW w:w="4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98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by/(used in)</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operating activities</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(6,128)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(24,429)</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168,225</w:t>
            </w:r>
          </w:p>
        </w:tc>
        <w:tc>
          <w:tcPr>
            <w:tcW w:w="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137,666</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(4,576)</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(18,487)</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(10)</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(152,844)</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(175,917)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18,473</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(34,064)</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(382)</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(69,094)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Cash flows from</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9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98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investing activities:</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98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Purchase of long-term</w:t>
            </w: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investment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(22,450)</w:t>
            </w:r>
          </w:p>
        </w:tc>
        <w:tc>
          <w:tcPr>
            <w:tcW w:w="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(22,450)</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(11,013)</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(22,601)</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(33,614)</w:t>
            </w:r>
          </w:p>
        </w:tc>
        <w:tc>
          <w:tcPr>
            <w:tcW w:w="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(10,000)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Purchase of property,</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8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equipment and</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9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intangible assets</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(34)</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(8,162)</w:t>
            </w: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(8,196)</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(702)</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(37,359)</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(38,061)</w:t>
            </w: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(50)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(16,773)</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340"/>
          </w:cols>
          <w:pgMar w:left="320" w:top="44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8" w:lineRule="exact"/>
        <w:rPr>
          <w:sz w:val="20"/>
          <w:szCs w:val="20"/>
          <w:color w:val="auto"/>
        </w:rPr>
      </w:pPr>
    </w:p>
    <w:tbl>
      <w:tblPr>
        <w:tblLayout w:type="fixed"/>
        <w:tblInd w:w="700" w:type="dxa"/>
        <w:tblCellMar>
          <w:top w:w="0" w:type="dxa"/>
          <w:left w:w="0" w:type="dxa"/>
          <w:bottom w:w="0" w:type="dxa"/>
          <w:right w:w="0" w:type="dxa"/>
        </w:tblCellMar>
      </w:tblPr>
      <w:tr>
        <w:trPr>
          <w:trHeight w:val="122"/>
        </w:trPr>
        <w:tc>
          <w:tcPr>
            <w:tcW w:w="6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8"/>
          </w:tcPr>
          <w:p>
            <w:pPr>
              <w:ind w:left="400"/>
              <w:spacing w:after="0"/>
              <w:rPr>
                <w:sz w:val="20"/>
                <w:szCs w:val="20"/>
                <w:color w:val="auto"/>
              </w:rPr>
            </w:pPr>
            <w:r>
              <w:rPr>
                <w:rFonts w:ascii="Times New Roman" w:cs="Times New Roman" w:eastAsia="Times New Roman" w:hAnsi="Times New Roman"/>
                <w:sz w:val="10"/>
                <w:szCs w:val="10"/>
                <w:b w:val="1"/>
                <w:bCs w:val="1"/>
                <w:color w:val="auto"/>
              </w:rPr>
              <w:t>For the Year Ended December 31, 2020</w:t>
            </w: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8"/>
          </w:tcPr>
          <w:p>
            <w:pPr>
              <w:ind w:left="400"/>
              <w:spacing w:after="0"/>
              <w:rPr>
                <w:sz w:val="20"/>
                <w:szCs w:val="20"/>
                <w:color w:val="auto"/>
              </w:rPr>
            </w:pPr>
            <w:r>
              <w:rPr>
                <w:rFonts w:ascii="Times New Roman" w:cs="Times New Roman" w:eastAsia="Times New Roman" w:hAnsi="Times New Roman"/>
                <w:sz w:val="10"/>
                <w:szCs w:val="10"/>
                <w:b w:val="1"/>
                <w:bCs w:val="1"/>
                <w:color w:val="auto"/>
              </w:rPr>
              <w:t>For the Year Ended December 31, 2021</w:t>
            </w: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gridSpan w:val="8"/>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For the Year Ended December 31, 2022</w:t>
            </w:r>
          </w:p>
        </w:tc>
        <w:tc>
          <w:tcPr>
            <w:tcW w:w="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80"/>
              <w:spacing w:after="0" w:line="87" w:lineRule="exact"/>
              <w:rPr>
                <w:sz w:val="20"/>
                <w:szCs w:val="20"/>
                <w:color w:val="auto"/>
              </w:rPr>
            </w:pPr>
            <w:r>
              <w:rPr>
                <w:rFonts w:ascii="Times New Roman" w:cs="Times New Roman" w:eastAsia="Times New Roman" w:hAnsi="Times New Roman"/>
                <w:sz w:val="10"/>
                <w:szCs w:val="10"/>
                <w:b w:val="1"/>
                <w:bCs w:val="1"/>
                <w:color w:val="auto"/>
                <w:w w:val="95"/>
              </w:rPr>
              <w:t>Subsidiaries</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80"/>
              <w:spacing w:after="0" w:line="87" w:lineRule="exact"/>
              <w:rPr>
                <w:sz w:val="20"/>
                <w:szCs w:val="20"/>
                <w:color w:val="auto"/>
              </w:rPr>
            </w:pPr>
            <w:r>
              <w:rPr>
                <w:rFonts w:ascii="Times New Roman" w:cs="Times New Roman" w:eastAsia="Times New Roman" w:hAnsi="Times New Roman"/>
                <w:sz w:val="10"/>
                <w:szCs w:val="10"/>
                <w:b w:val="1"/>
                <w:bCs w:val="1"/>
                <w:color w:val="auto"/>
                <w:w w:val="95"/>
              </w:rPr>
              <w:t>Subsidiaries</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tcPr>
          <w:p>
            <w:pPr>
              <w:jc w:val="right"/>
              <w:ind w:right="80"/>
              <w:spacing w:after="0" w:line="87" w:lineRule="exact"/>
              <w:rPr>
                <w:sz w:val="20"/>
                <w:szCs w:val="20"/>
                <w:color w:val="auto"/>
              </w:rPr>
            </w:pPr>
            <w:r>
              <w:rPr>
                <w:rFonts w:ascii="Times New Roman" w:cs="Times New Roman" w:eastAsia="Times New Roman" w:hAnsi="Times New Roman"/>
                <w:sz w:val="10"/>
                <w:szCs w:val="10"/>
                <w:b w:val="1"/>
                <w:bCs w:val="1"/>
                <w:color w:val="auto"/>
                <w:w w:val="91"/>
              </w:rPr>
              <w:t>Subsidiaries</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4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Parent</w:t>
            </w: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of parent</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3"/>
              </w:rPr>
              <w:t>VIE and its</w:t>
            </w:r>
          </w:p>
        </w:tc>
        <w:tc>
          <w:tcPr>
            <w:tcW w:w="68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Elimination</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Parent</w:t>
            </w: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of parent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center"/>
              <w:ind w:right="80"/>
              <w:spacing w:after="0" w:line="109" w:lineRule="exact"/>
              <w:rPr>
                <w:sz w:val="20"/>
                <w:szCs w:val="20"/>
                <w:color w:val="auto"/>
              </w:rPr>
            </w:pPr>
            <w:r>
              <w:rPr>
                <w:rFonts w:ascii="Times New Roman" w:cs="Times New Roman" w:eastAsia="Times New Roman" w:hAnsi="Times New Roman"/>
                <w:sz w:val="10"/>
                <w:szCs w:val="10"/>
                <w:b w:val="1"/>
                <w:bCs w:val="1"/>
                <w:color w:val="auto"/>
                <w:w w:val="98"/>
              </w:rPr>
              <w:t>VIE and its</w:t>
            </w:r>
          </w:p>
        </w:tc>
        <w:tc>
          <w:tcPr>
            <w:tcW w:w="70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0"/>
                <w:szCs w:val="10"/>
                <w:b w:val="1"/>
                <w:bCs w:val="1"/>
                <w:color w:val="auto"/>
                <w:w w:val="94"/>
              </w:rPr>
              <w:t>Elimination</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Parent</w:t>
            </w:r>
          </w:p>
        </w:tc>
        <w:tc>
          <w:tcPr>
            <w:tcW w:w="5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of parent</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3"/>
              </w:rPr>
              <w:t>VIE and its</w:t>
            </w:r>
          </w:p>
        </w:tc>
        <w:tc>
          <w:tcPr>
            <w:tcW w:w="66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w w:val="94"/>
              </w:rPr>
              <w:t>Elimination</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4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2"/>
              </w:rPr>
              <w:t>company</w:t>
            </w: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company</w:t>
            </w:r>
          </w:p>
        </w:tc>
        <w:tc>
          <w:tcPr>
            <w:tcW w:w="40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rPr>
              <w:t>WFOE</w:t>
            </w:r>
          </w:p>
        </w:tc>
        <w:tc>
          <w:tcPr>
            <w:tcW w:w="80" w:type="dxa"/>
            <w:vAlign w:val="bottom"/>
          </w:tcPr>
          <w:p>
            <w:pPr>
              <w:spacing w:after="0"/>
              <w:rPr>
                <w:sz w:val="9"/>
                <w:szCs w:val="9"/>
                <w:color w:val="auto"/>
              </w:rPr>
            </w:pPr>
          </w:p>
        </w:tc>
        <w:tc>
          <w:tcPr>
            <w:tcW w:w="58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0"/>
                <w:szCs w:val="10"/>
                <w:b w:val="1"/>
                <w:bCs w:val="1"/>
                <w:color w:val="auto"/>
                <w:w w:val="94"/>
              </w:rPr>
              <w:t>subsidiaries</w:t>
            </w:r>
          </w:p>
        </w:tc>
        <w:tc>
          <w:tcPr>
            <w:tcW w:w="680" w:type="dxa"/>
            <w:vAlign w:val="bottom"/>
            <w:gridSpan w:val="2"/>
          </w:tcPr>
          <w:p>
            <w:pPr>
              <w:ind w:left="80"/>
              <w:spacing w:after="0" w:line="109" w:lineRule="exact"/>
              <w:rPr>
                <w:sz w:val="20"/>
                <w:szCs w:val="20"/>
                <w:color w:val="auto"/>
              </w:rPr>
            </w:pPr>
            <w:r>
              <w:rPr>
                <w:rFonts w:ascii="Times New Roman" w:cs="Times New Roman" w:eastAsia="Times New Roman" w:hAnsi="Times New Roman"/>
                <w:sz w:val="10"/>
                <w:szCs w:val="10"/>
                <w:b w:val="1"/>
                <w:bCs w:val="1"/>
                <w:color w:val="auto"/>
              </w:rPr>
              <w:t>(Note 3)</w:t>
            </w:r>
          </w:p>
        </w:tc>
        <w:tc>
          <w:tcPr>
            <w:tcW w:w="64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Consolidated</w:t>
            </w:r>
          </w:p>
        </w:tc>
        <w:tc>
          <w:tcPr>
            <w:tcW w:w="4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2"/>
              </w:rPr>
              <w:t>company</w:t>
            </w: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company</w:t>
            </w:r>
          </w:p>
        </w:tc>
        <w:tc>
          <w:tcPr>
            <w:tcW w:w="5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WFOE</w:t>
            </w:r>
          </w:p>
        </w:tc>
        <w:tc>
          <w:tcPr>
            <w:tcW w:w="560" w:type="dxa"/>
            <w:vAlign w:val="bottom"/>
            <w:gridSpan w:val="2"/>
          </w:tcPr>
          <w:p>
            <w:pPr>
              <w:jc w:val="center"/>
              <w:ind w:right="80"/>
              <w:spacing w:after="0" w:line="109" w:lineRule="exact"/>
              <w:rPr>
                <w:sz w:val="20"/>
                <w:szCs w:val="20"/>
                <w:color w:val="auto"/>
              </w:rPr>
            </w:pPr>
            <w:r>
              <w:rPr>
                <w:rFonts w:ascii="Times New Roman" w:cs="Times New Roman" w:eastAsia="Times New Roman" w:hAnsi="Times New Roman"/>
                <w:sz w:val="10"/>
                <w:szCs w:val="10"/>
                <w:b w:val="1"/>
                <w:bCs w:val="1"/>
                <w:color w:val="auto"/>
                <w:w w:val="94"/>
              </w:rPr>
              <w:t>subsidiaries</w:t>
            </w:r>
          </w:p>
        </w:tc>
        <w:tc>
          <w:tcPr>
            <w:tcW w:w="70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0"/>
                <w:szCs w:val="10"/>
                <w:b w:val="1"/>
                <w:bCs w:val="1"/>
                <w:color w:val="auto"/>
                <w:w w:val="93"/>
              </w:rPr>
              <w:t>(Note 3)</w:t>
            </w:r>
          </w:p>
        </w:tc>
        <w:tc>
          <w:tcPr>
            <w:tcW w:w="62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Consolidated</w:t>
            </w:r>
          </w:p>
        </w:tc>
        <w:tc>
          <w:tcPr>
            <w:tcW w:w="50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7"/>
              </w:rPr>
              <w:t>company</w:t>
            </w:r>
          </w:p>
        </w:tc>
        <w:tc>
          <w:tcPr>
            <w:tcW w:w="5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company</w:t>
            </w:r>
          </w:p>
        </w:tc>
        <w:tc>
          <w:tcPr>
            <w:tcW w:w="5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WFOE</w:t>
            </w:r>
          </w:p>
        </w:tc>
        <w:tc>
          <w:tcPr>
            <w:tcW w:w="58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0"/>
                <w:szCs w:val="10"/>
                <w:b w:val="1"/>
                <w:bCs w:val="1"/>
                <w:color w:val="auto"/>
                <w:w w:val="94"/>
              </w:rPr>
              <w:t>subsidiaries</w:t>
            </w:r>
          </w:p>
        </w:tc>
        <w:tc>
          <w:tcPr>
            <w:tcW w:w="66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0"/>
                <w:szCs w:val="10"/>
                <w:b w:val="1"/>
                <w:bCs w:val="1"/>
                <w:color w:val="auto"/>
              </w:rPr>
              <w:t>(Note 3)</w:t>
            </w:r>
          </w:p>
        </w:tc>
        <w:tc>
          <w:tcPr>
            <w:tcW w:w="2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w w:val="82"/>
              </w:rPr>
              <w:t>Conso</w:t>
            </w: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8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RMB’000</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5"/>
              </w:rPr>
              <w:t>RMB’000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RMB</w:t>
            </w:r>
          </w:p>
        </w:tc>
        <w:tc>
          <w:tcPr>
            <w:tcW w:w="0" w:type="dxa"/>
            <w:vAlign w:val="bottom"/>
          </w:tcPr>
          <w:p>
            <w:pPr>
              <w:spacing w:after="0"/>
              <w:rPr>
                <w:sz w:val="1"/>
                <w:szCs w:val="1"/>
                <w:color w:val="auto"/>
              </w:rPr>
            </w:pPr>
          </w:p>
        </w:tc>
      </w:tr>
      <w:tr>
        <w:trPr>
          <w:trHeight w:val="77"/>
        </w:trPr>
        <w:tc>
          <w:tcPr>
            <w:tcW w:w="640" w:type="dxa"/>
            <w:vAlign w:val="bottom"/>
            <w:tcBorders>
              <w:top w:val="single" w:sz="8" w:color="CCEEFF"/>
            </w:tcBorders>
            <w:shd w:val="clear" w:color="auto" w:fill="CCEEFF"/>
          </w:tcPr>
          <w:p>
            <w:pPr>
              <w:spacing w:after="0" w:line="77" w:lineRule="exact"/>
              <w:rPr>
                <w:sz w:val="20"/>
                <w:szCs w:val="20"/>
                <w:color w:val="auto"/>
              </w:rPr>
            </w:pPr>
            <w:r>
              <w:rPr>
                <w:rFonts w:ascii="Times New Roman" w:cs="Times New Roman" w:eastAsia="Times New Roman" w:hAnsi="Times New Roman"/>
                <w:sz w:val="8"/>
                <w:szCs w:val="8"/>
                <w:color w:val="auto"/>
              </w:rPr>
              <w:t>Proceeds from</w:t>
            </w:r>
          </w:p>
        </w:tc>
        <w:tc>
          <w:tcPr>
            <w:tcW w:w="4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disposal of</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property,</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equipment</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and</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intangible</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assets</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19</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w w:val="79"/>
              </w:rPr>
              <w:t>961</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980</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1044</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Acquisition of</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subsidiary,</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net of cash</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paid</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(569)</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(569)</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(2,487)</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(11,805)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(14,292)</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(25,964)</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7"/>
        </w:trPr>
        <w:tc>
          <w:tcPr>
            <w:tcW w:w="6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Disposal of</w:t>
            </w: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subsidiary</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Investment in</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subsidiaries</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color w:val="auto"/>
              </w:rPr>
              <w:t>245</w:t>
            </w:r>
            <w:r>
              <w:rPr>
                <w:rFonts w:ascii="Times New Roman" w:cs="Times New Roman" w:eastAsia="Times New Roman" w:hAnsi="Times New Roman"/>
                <w:sz w:val="14"/>
                <w:szCs w:val="14"/>
                <w:color w:val="auto"/>
                <w:vertAlign w:val="superscript"/>
              </w:rPr>
              <w:t>(i)</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0"/>
                <w:szCs w:val="10"/>
                <w:color w:val="auto"/>
              </w:rPr>
              <w:t>247</w:t>
            </w:r>
            <w:r>
              <w:rPr>
                <w:rFonts w:ascii="Times New Roman" w:cs="Times New Roman" w:eastAsia="Times New Roman" w:hAnsi="Times New Roman"/>
                <w:sz w:val="14"/>
                <w:szCs w:val="14"/>
                <w:color w:val="auto"/>
                <w:vertAlign w:val="superscript"/>
              </w:rPr>
              <w:t>(i)</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from parent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(245)</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continue"/>
          </w:tcPr>
          <w:p>
            <w:pPr>
              <w:spacing w:after="0"/>
              <w:rPr>
                <w:sz w:val="10"/>
                <w:szCs w:val="10"/>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(247)</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vMerge w:val="continue"/>
          </w:tcPr>
          <w:p>
            <w:pPr>
              <w:spacing w:after="0"/>
              <w:rPr>
                <w:sz w:val="10"/>
                <w:szCs w:val="10"/>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Investment in</w:t>
            </w: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WFOE</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from</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9"/>
                <w:szCs w:val="19"/>
                <w:color w:val="auto"/>
                <w:vertAlign w:val="subscript"/>
              </w:rPr>
              <w:t>485</w:t>
            </w:r>
            <w:r>
              <w:rPr>
                <w:rFonts w:ascii="Times New Roman" w:cs="Times New Roman" w:eastAsia="Times New Roman" w:hAnsi="Times New Roman"/>
                <w:sz w:val="7"/>
                <w:szCs w:val="7"/>
                <w:color w:val="auto"/>
              </w:rPr>
              <w:t>(ii)</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129,504</w:t>
            </w:r>
            <w:r>
              <w:rPr>
                <w:rFonts w:ascii="Times New Roman" w:cs="Times New Roman" w:eastAsia="Times New Roman" w:hAnsi="Times New Roman"/>
                <w:sz w:val="14"/>
                <w:szCs w:val="14"/>
                <w:color w:val="auto"/>
                <w:vertAlign w:val="superscript"/>
              </w:rPr>
              <w:t>(ii)</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subsidiaries</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(485)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continue"/>
            <w:shd w:val="clear" w:color="auto" w:fill="CCEEFF"/>
          </w:tcPr>
          <w:p>
            <w:pPr>
              <w:spacing w:after="0"/>
              <w:rPr>
                <w:sz w:val="10"/>
                <w:szCs w:val="10"/>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(129,504)</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vMerge w:val="continue"/>
            <w:shd w:val="clear" w:color="auto" w:fill="CCEEFF"/>
          </w:tcPr>
          <w:p>
            <w:pPr>
              <w:spacing w:after="0"/>
              <w:rPr>
                <w:sz w:val="10"/>
                <w:szCs w:val="10"/>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Payments of</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inter-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company</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color w:val="auto"/>
              </w:rPr>
              <w:t>139,123</w:t>
            </w:r>
            <w:r>
              <w:rPr>
                <w:rFonts w:ascii="Times New Roman" w:cs="Times New Roman" w:eastAsia="Times New Roman" w:hAnsi="Times New Roman"/>
                <w:sz w:val="14"/>
                <w:szCs w:val="14"/>
                <w:color w:val="auto"/>
                <w:vertAlign w:val="superscript"/>
              </w:rPr>
              <w:t>(iii)</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color w:val="auto"/>
              </w:rPr>
              <w:t>294,266</w:t>
            </w:r>
            <w:r>
              <w:rPr>
                <w:rFonts w:ascii="Times New Roman" w:cs="Times New Roman" w:eastAsia="Times New Roman" w:hAnsi="Times New Roman"/>
                <w:sz w:val="14"/>
                <w:szCs w:val="14"/>
                <w:color w:val="auto"/>
                <w:vertAlign w:val="superscript"/>
              </w:rPr>
              <w:t>(iii)</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29,417</w:t>
            </w:r>
            <w:r>
              <w:rPr>
                <w:rFonts w:ascii="Times New Roman" w:cs="Times New Roman" w:eastAsia="Times New Roman" w:hAnsi="Times New Roman"/>
                <w:sz w:val="14"/>
                <w:szCs w:val="14"/>
                <w:color w:val="auto"/>
                <w:vertAlign w:val="superscript"/>
              </w:rPr>
              <w:t>(iii)</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balances</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(139,123)</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continue"/>
          </w:tcPr>
          <w:p>
            <w:pPr>
              <w:spacing w:after="0"/>
              <w:rPr>
                <w:sz w:val="10"/>
                <w:szCs w:val="10"/>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(161,216)</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(128,000)</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(5,050)</w:t>
            </w:r>
          </w:p>
        </w:tc>
        <w:tc>
          <w:tcPr>
            <w:tcW w:w="700" w:type="dxa"/>
            <w:vAlign w:val="bottom"/>
            <w:gridSpan w:val="2"/>
            <w:vMerge w:val="continue"/>
          </w:tcPr>
          <w:p>
            <w:pPr>
              <w:spacing w:after="0"/>
              <w:rPr>
                <w:sz w:val="10"/>
                <w:szCs w:val="10"/>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(23,376)</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(6,041)</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Proceeds from</w:t>
            </w: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disposal of</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investments</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2,930</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w w:val="79"/>
              </w:rPr>
              <w:t>890</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3,820</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700</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Cash received</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for disposal</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of</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subsidiary</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3,640</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Advances to a</w:t>
            </w: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third party</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(26,000)</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7"/>
        </w:trPr>
        <w:tc>
          <w:tcPr>
            <w:tcW w:w="6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Repayment</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from a third</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party</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16,000</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Interests</w:t>
            </w: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received</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876</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40" w:type="dxa"/>
            <w:vAlign w:val="bottom"/>
          </w:tcPr>
          <w:p>
            <w:pPr>
              <w:spacing w:after="0" w:line="109" w:lineRule="exact"/>
              <w:rPr>
                <w:sz w:val="20"/>
                <w:szCs w:val="20"/>
                <w:color w:val="auto"/>
              </w:rPr>
            </w:pPr>
            <w:r>
              <w:rPr>
                <w:rFonts w:ascii="Times New Roman" w:cs="Times New Roman" w:eastAsia="Times New Roman" w:hAnsi="Times New Roman"/>
                <w:sz w:val="10"/>
                <w:szCs w:val="10"/>
                <w:color w:val="auto"/>
              </w:rPr>
              <w:t>Others</w:t>
            </w:r>
          </w:p>
        </w:tc>
        <w:tc>
          <w:tcPr>
            <w:tcW w:w="48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0"/>
                <w:szCs w:val="10"/>
                <w:color w:val="auto"/>
              </w:rPr>
              <w:t>137</w:t>
            </w:r>
          </w:p>
        </w:tc>
        <w:tc>
          <w:tcPr>
            <w:tcW w:w="80" w:type="dxa"/>
            <w:vAlign w:val="bottom"/>
          </w:tcPr>
          <w:p>
            <w:pPr>
              <w:spacing w:after="0"/>
              <w:rPr>
                <w:sz w:val="9"/>
                <w:szCs w:val="9"/>
                <w:color w:val="auto"/>
              </w:rPr>
            </w:pPr>
          </w:p>
        </w:tc>
        <w:tc>
          <w:tcPr>
            <w:tcW w:w="68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ind w:left="400"/>
              <w:spacing w:after="0" w:line="109" w:lineRule="exact"/>
              <w:rPr>
                <w:sz w:val="20"/>
                <w:szCs w:val="20"/>
                <w:color w:val="auto"/>
              </w:rPr>
            </w:pPr>
            <w:r>
              <w:rPr>
                <w:rFonts w:ascii="Times New Roman" w:cs="Times New Roman" w:eastAsia="Times New Roman" w:hAnsi="Times New Roman"/>
                <w:sz w:val="10"/>
                <w:szCs w:val="10"/>
                <w:color w:val="auto"/>
              </w:rPr>
              <w:t>137</w:t>
            </w:r>
          </w:p>
        </w:tc>
        <w:tc>
          <w:tcPr>
            <w:tcW w:w="48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ind w:left="340"/>
              <w:spacing w:after="0" w:line="109" w:lineRule="exact"/>
              <w:rPr>
                <w:sz w:val="20"/>
                <w:szCs w:val="20"/>
                <w:color w:val="auto"/>
              </w:rPr>
            </w:pPr>
            <w:r>
              <w:rPr>
                <w:rFonts w:ascii="Times New Roman" w:cs="Times New Roman" w:eastAsia="Times New Roman" w:hAnsi="Times New Roman"/>
                <w:sz w:val="10"/>
                <w:szCs w:val="10"/>
                <w:color w:val="auto"/>
                <w:w w:val="79"/>
              </w:rPr>
              <w:t>241</w:t>
            </w:r>
          </w:p>
        </w:tc>
        <w:tc>
          <w:tcPr>
            <w:tcW w:w="80" w:type="dxa"/>
            <w:vAlign w:val="bottom"/>
          </w:tcPr>
          <w:p>
            <w:pPr>
              <w:spacing w:after="0"/>
              <w:rPr>
                <w:sz w:val="9"/>
                <w:szCs w:val="9"/>
                <w:color w:val="auto"/>
              </w:rPr>
            </w:pPr>
          </w:p>
        </w:tc>
        <w:tc>
          <w:tcPr>
            <w:tcW w:w="70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ind w:left="400"/>
              <w:spacing w:after="0" w:line="109" w:lineRule="exact"/>
              <w:rPr>
                <w:sz w:val="20"/>
                <w:szCs w:val="20"/>
                <w:color w:val="auto"/>
              </w:rPr>
            </w:pPr>
            <w:r>
              <w:rPr>
                <w:rFonts w:ascii="Times New Roman" w:cs="Times New Roman" w:eastAsia="Times New Roman" w:hAnsi="Times New Roman"/>
                <w:sz w:val="10"/>
                <w:szCs w:val="10"/>
                <w:color w:val="auto"/>
              </w:rPr>
              <w:t>241</w:t>
            </w:r>
          </w:p>
        </w:tc>
        <w:tc>
          <w:tcPr>
            <w:tcW w:w="5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0"/>
                <w:szCs w:val="10"/>
                <w:color w:val="auto"/>
              </w:rPr>
              <w:t>237</w:t>
            </w:r>
          </w:p>
        </w:tc>
        <w:tc>
          <w:tcPr>
            <w:tcW w:w="660" w:type="dxa"/>
            <w:vAlign w:val="bottom"/>
            <w:gridSpan w:val="2"/>
          </w:tcPr>
          <w:p>
            <w:pPr>
              <w:jc w:val="right"/>
              <w:ind w:right="2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Net cash</w:t>
            </w: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provided</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by/(used</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in)</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investing</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activities</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(139,368)</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(519)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(31,044)</w:t>
            </w:r>
          </w:p>
        </w:tc>
        <w:tc>
          <w:tcPr>
            <w:tcW w:w="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w w:val="92"/>
              </w:rPr>
              <w:t>139,853</w:t>
            </w:r>
          </w:p>
        </w:tc>
        <w:tc>
          <w:tcPr>
            <w:tcW w:w="1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(31,078)</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(161,463)</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(140,757)</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(128,000)</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(74,723)</w:t>
            </w:r>
          </w:p>
        </w:tc>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w w:val="86"/>
              </w:rPr>
              <w:t>424,017</w:t>
            </w:r>
          </w:p>
        </w:tc>
        <w:tc>
          <w:tcPr>
            <w:tcW w:w="2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(80,926)</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(23,376)</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(46)</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(6,041)</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(56,240)</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29,417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Cash flows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6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from</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financing</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activities: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Proceeds from</w:t>
            </w: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borrowings</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105,400</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105,400</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184,000</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184,000</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270,200</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97"/>
        </w:trPr>
        <w:tc>
          <w:tcPr>
            <w:tcW w:w="6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Repayments</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of</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borrowings</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(61,266)</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(61,266)</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(40,503)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(40,503)</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(367,524)</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97"/>
        </w:trPr>
        <w:tc>
          <w:tcPr>
            <w:tcW w:w="6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Proceeds from</w:t>
            </w: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IPO, net of</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insurance</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costs</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340,479</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340,479</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Proceeds from</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inter-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company</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color w:val="auto"/>
                <w:w w:val="97"/>
              </w:rPr>
              <w:t>(139,123)</w:t>
            </w:r>
            <w:r>
              <w:rPr>
                <w:rFonts w:ascii="Times New Roman" w:cs="Times New Roman" w:eastAsia="Times New Roman" w:hAnsi="Times New Roman"/>
                <w:sz w:val="14"/>
                <w:szCs w:val="14"/>
                <w:color w:val="auto"/>
                <w:w w:val="97"/>
                <w:vertAlign w:val="superscript"/>
              </w:rPr>
              <w:t>(iii)</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w w:val="97"/>
              </w:rPr>
              <w:t>(294,266)</w:t>
            </w:r>
            <w:r>
              <w:rPr>
                <w:rFonts w:ascii="Times New Roman" w:cs="Times New Roman" w:eastAsia="Times New Roman" w:hAnsi="Times New Roman"/>
                <w:sz w:val="14"/>
                <w:szCs w:val="14"/>
                <w:color w:val="auto"/>
                <w:w w:val="97"/>
                <w:vertAlign w:val="superscript"/>
              </w:rPr>
              <w:t>(iii)</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balances</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139,092</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continue"/>
          </w:tcPr>
          <w:p>
            <w:pPr>
              <w:spacing w:after="0"/>
              <w:rPr>
                <w:sz w:val="16"/>
                <w:szCs w:val="16"/>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161,216</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5,050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128,000</w:t>
            </w: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23,376</w:t>
            </w:r>
          </w:p>
        </w:tc>
        <w:tc>
          <w:tcPr>
            <w:tcW w:w="8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6,041</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(29,417)</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340"/>
          </w:cols>
          <w:pgMar w:left="320" w:top="447"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8" w:lineRule="exact"/>
        <w:rPr>
          <w:sz w:val="20"/>
          <w:szCs w:val="20"/>
          <w:color w:val="auto"/>
        </w:rPr>
      </w:pPr>
    </w:p>
    <w:tbl>
      <w:tblPr>
        <w:tblLayout w:type="fixed"/>
        <w:tblInd w:w="700" w:type="dxa"/>
        <w:tblCellMar>
          <w:top w:w="0" w:type="dxa"/>
          <w:left w:w="0" w:type="dxa"/>
          <w:bottom w:w="0" w:type="dxa"/>
          <w:right w:w="0" w:type="dxa"/>
        </w:tblCellMar>
      </w:tblPr>
      <w:tr>
        <w:trPr>
          <w:trHeight w:val="122"/>
        </w:trPr>
        <w:tc>
          <w:tcPr>
            <w:tcW w:w="6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gridSpan w:val="8"/>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For the Year Ended December 31, 2020</w:t>
            </w: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0"/>
                <w:szCs w:val="10"/>
                <w:b w:val="1"/>
                <w:bCs w:val="1"/>
                <w:color w:val="auto"/>
              </w:rPr>
              <w:t>For the Year Ended December 31, 2021</w:t>
            </w: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For the Year Ended December 31, 2022</w:t>
            </w:r>
          </w:p>
        </w:tc>
        <w:tc>
          <w:tcPr>
            <w:tcW w:w="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center"/>
              <w:ind w:right="100"/>
              <w:spacing w:after="0" w:line="87" w:lineRule="exact"/>
              <w:rPr>
                <w:sz w:val="20"/>
                <w:szCs w:val="20"/>
                <w:color w:val="auto"/>
              </w:rPr>
            </w:pPr>
            <w:r>
              <w:rPr>
                <w:rFonts w:ascii="Times New Roman" w:cs="Times New Roman" w:eastAsia="Times New Roman" w:hAnsi="Times New Roman"/>
                <w:sz w:val="10"/>
                <w:szCs w:val="10"/>
                <w:b w:val="1"/>
                <w:bCs w:val="1"/>
                <w:color w:val="auto"/>
                <w:w w:val="95"/>
              </w:rPr>
              <w:t>Subsidiaries</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tcPr>
          <w:p>
            <w:pPr>
              <w:jc w:val="right"/>
              <w:ind w:right="80"/>
              <w:spacing w:after="0" w:line="87" w:lineRule="exact"/>
              <w:rPr>
                <w:sz w:val="20"/>
                <w:szCs w:val="20"/>
                <w:color w:val="auto"/>
              </w:rPr>
            </w:pPr>
            <w:r>
              <w:rPr>
                <w:rFonts w:ascii="Times New Roman" w:cs="Times New Roman" w:eastAsia="Times New Roman" w:hAnsi="Times New Roman"/>
                <w:sz w:val="10"/>
                <w:szCs w:val="10"/>
                <w:b w:val="1"/>
                <w:bCs w:val="1"/>
                <w:color w:val="auto"/>
                <w:w w:val="91"/>
              </w:rPr>
              <w:t>Subsidiaries</w:t>
            </w: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80"/>
              <w:spacing w:after="0" w:line="87" w:lineRule="exact"/>
              <w:rPr>
                <w:sz w:val="20"/>
                <w:szCs w:val="20"/>
                <w:color w:val="auto"/>
              </w:rPr>
            </w:pPr>
            <w:r>
              <w:rPr>
                <w:rFonts w:ascii="Times New Roman" w:cs="Times New Roman" w:eastAsia="Times New Roman" w:hAnsi="Times New Roman"/>
                <w:sz w:val="10"/>
                <w:szCs w:val="10"/>
                <w:b w:val="1"/>
                <w:bCs w:val="1"/>
                <w:color w:val="auto"/>
                <w:w w:val="95"/>
              </w:rPr>
              <w:t>Subsidiaries</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5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Parent</w:t>
            </w:r>
          </w:p>
        </w:tc>
        <w:tc>
          <w:tcPr>
            <w:tcW w:w="60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6"/>
              </w:rPr>
              <w:t>of parent</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VIE and its</w:t>
            </w:r>
          </w:p>
        </w:tc>
        <w:tc>
          <w:tcPr>
            <w:tcW w:w="68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0"/>
                <w:szCs w:val="10"/>
                <w:b w:val="1"/>
                <w:bCs w:val="1"/>
                <w:color w:val="auto"/>
                <w:w w:val="94"/>
              </w:rPr>
              <w:t>Elimination</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Parent</w:t>
            </w:r>
          </w:p>
        </w:tc>
        <w:tc>
          <w:tcPr>
            <w:tcW w:w="5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of parent</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3"/>
              </w:rPr>
              <w:t>VIE and its</w:t>
            </w:r>
          </w:p>
        </w:tc>
        <w:tc>
          <w:tcPr>
            <w:tcW w:w="66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0"/>
                <w:szCs w:val="10"/>
                <w:b w:val="1"/>
                <w:bCs w:val="1"/>
                <w:color w:val="auto"/>
                <w:w w:val="94"/>
              </w:rPr>
              <w:t>Elimination</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Parent</w:t>
            </w: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of parent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VIE and its</w:t>
            </w:r>
          </w:p>
        </w:tc>
        <w:tc>
          <w:tcPr>
            <w:tcW w:w="58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4"/>
              </w:rPr>
              <w:t>Elimination</w:t>
            </w: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50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7"/>
              </w:rPr>
              <w:t>company</w:t>
            </w:r>
          </w:p>
        </w:tc>
        <w:tc>
          <w:tcPr>
            <w:tcW w:w="60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7"/>
              </w:rPr>
              <w:t>company</w:t>
            </w:r>
          </w:p>
        </w:tc>
        <w:tc>
          <w:tcPr>
            <w:tcW w:w="480" w:type="dxa"/>
            <w:vAlign w:val="bottom"/>
            <w:gridSpan w:val="2"/>
          </w:tcPr>
          <w:p>
            <w:pPr>
              <w:ind w:left="40"/>
              <w:spacing w:after="0" w:line="109" w:lineRule="exact"/>
              <w:rPr>
                <w:sz w:val="20"/>
                <w:szCs w:val="20"/>
                <w:color w:val="auto"/>
              </w:rPr>
            </w:pPr>
            <w:r>
              <w:rPr>
                <w:rFonts w:ascii="Times New Roman" w:cs="Times New Roman" w:eastAsia="Times New Roman" w:hAnsi="Times New Roman"/>
                <w:sz w:val="10"/>
                <w:szCs w:val="10"/>
                <w:b w:val="1"/>
                <w:bCs w:val="1"/>
                <w:color w:val="auto"/>
              </w:rPr>
              <w:t>WFOE</w:t>
            </w:r>
          </w:p>
        </w:tc>
        <w:tc>
          <w:tcPr>
            <w:tcW w:w="56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subsidiaries</w:t>
            </w:r>
          </w:p>
        </w:tc>
        <w:tc>
          <w:tcPr>
            <w:tcW w:w="68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0"/>
                <w:szCs w:val="10"/>
                <w:b w:val="1"/>
                <w:bCs w:val="1"/>
                <w:color w:val="auto"/>
                <w:w w:val="99"/>
              </w:rPr>
              <w:t>(Note 3)</w:t>
            </w:r>
          </w:p>
        </w:tc>
        <w:tc>
          <w:tcPr>
            <w:tcW w:w="62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0"/>
                <w:szCs w:val="10"/>
                <w:b w:val="1"/>
                <w:bCs w:val="1"/>
                <w:color w:val="auto"/>
                <w:w w:val="92"/>
              </w:rPr>
              <w:t>Consolidated</w:t>
            </w:r>
          </w:p>
        </w:tc>
        <w:tc>
          <w:tcPr>
            <w:tcW w:w="50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7"/>
              </w:rPr>
              <w:t>company</w:t>
            </w:r>
          </w:p>
        </w:tc>
        <w:tc>
          <w:tcPr>
            <w:tcW w:w="5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company</w:t>
            </w:r>
          </w:p>
        </w:tc>
        <w:tc>
          <w:tcPr>
            <w:tcW w:w="48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0"/>
                <w:szCs w:val="10"/>
                <w:b w:val="1"/>
                <w:bCs w:val="1"/>
                <w:color w:val="auto"/>
              </w:rPr>
              <w:t>WFOE</w:t>
            </w:r>
          </w:p>
        </w:tc>
        <w:tc>
          <w:tcPr>
            <w:tcW w:w="58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0"/>
                <w:szCs w:val="10"/>
                <w:b w:val="1"/>
                <w:bCs w:val="1"/>
                <w:color w:val="auto"/>
                <w:w w:val="94"/>
              </w:rPr>
              <w:t>subsidiaries</w:t>
            </w:r>
          </w:p>
        </w:tc>
        <w:tc>
          <w:tcPr>
            <w:tcW w:w="66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0"/>
                <w:szCs w:val="10"/>
                <w:b w:val="1"/>
                <w:bCs w:val="1"/>
                <w:color w:val="auto"/>
                <w:w w:val="93"/>
              </w:rPr>
              <w:t>(Note 3)</w:t>
            </w:r>
          </w:p>
        </w:tc>
        <w:tc>
          <w:tcPr>
            <w:tcW w:w="64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2"/>
              </w:rPr>
              <w:t>Consolidated</w:t>
            </w:r>
          </w:p>
        </w:tc>
        <w:tc>
          <w:tcPr>
            <w:tcW w:w="4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2"/>
              </w:rPr>
              <w:t>company</w:t>
            </w: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company</w:t>
            </w:r>
          </w:p>
        </w:tc>
        <w:tc>
          <w:tcPr>
            <w:tcW w:w="50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0"/>
                <w:szCs w:val="10"/>
                <w:b w:val="1"/>
                <w:bCs w:val="1"/>
                <w:color w:val="auto"/>
              </w:rPr>
              <w:t>WFOE</w:t>
            </w:r>
          </w:p>
        </w:tc>
        <w:tc>
          <w:tcPr>
            <w:tcW w:w="58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subsidiaries</w:t>
            </w:r>
          </w:p>
        </w:tc>
        <w:tc>
          <w:tcPr>
            <w:tcW w:w="58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0"/>
                <w:szCs w:val="10"/>
                <w:b w:val="1"/>
                <w:bCs w:val="1"/>
                <w:color w:val="auto"/>
                <w:w w:val="93"/>
              </w:rPr>
              <w:t>(Note 3)</w:t>
            </w:r>
          </w:p>
        </w:tc>
        <w:tc>
          <w:tcPr>
            <w:tcW w:w="3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b w:val="1"/>
                <w:bCs w:val="1"/>
                <w:color w:val="auto"/>
                <w:w w:val="84"/>
              </w:rPr>
              <w:t>Consolida</w:t>
            </w: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5"/>
              </w:rPr>
              <w:t>RMB’000</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95"/>
              </w:rPr>
              <w:t>RMB’000</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1"/>
              </w:rPr>
              <w:t>RMB’000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RMB’000</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RMB’0</w:t>
            </w:r>
          </w:p>
        </w:tc>
        <w:tc>
          <w:tcPr>
            <w:tcW w:w="0" w:type="dxa"/>
            <w:vAlign w:val="bottom"/>
          </w:tcPr>
          <w:p>
            <w:pPr>
              <w:spacing w:after="0"/>
              <w:rPr>
                <w:sz w:val="1"/>
                <w:szCs w:val="1"/>
                <w:color w:val="auto"/>
              </w:rPr>
            </w:pPr>
          </w:p>
        </w:tc>
      </w:tr>
      <w:tr>
        <w:trPr>
          <w:trHeight w:val="77"/>
        </w:trPr>
        <w:tc>
          <w:tcPr>
            <w:tcW w:w="640" w:type="dxa"/>
            <w:vAlign w:val="bottom"/>
            <w:tcBorders>
              <w:top w:val="single" w:sz="8" w:color="CCEEFF"/>
            </w:tcBorders>
            <w:shd w:val="clear" w:color="auto" w:fill="CCEEFF"/>
          </w:tcPr>
          <w:p>
            <w:pPr>
              <w:spacing w:after="0" w:line="77" w:lineRule="exact"/>
              <w:rPr>
                <w:sz w:val="20"/>
                <w:szCs w:val="20"/>
                <w:color w:val="auto"/>
              </w:rPr>
            </w:pPr>
            <w:r>
              <w:rPr>
                <w:rFonts w:ascii="Times New Roman" w:cs="Times New Roman" w:eastAsia="Times New Roman" w:hAnsi="Times New Roman"/>
                <w:sz w:val="8"/>
                <w:szCs w:val="8"/>
                <w:color w:val="auto"/>
              </w:rPr>
              <w:t>Repurchase of</w:t>
            </w:r>
          </w:p>
        </w:tc>
        <w:tc>
          <w:tcPr>
            <w:tcW w:w="4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Class A</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common</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shares</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(2,063)</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(2,063)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(3,003)</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(3,003)</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(6,659)</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97"/>
        </w:trPr>
        <w:tc>
          <w:tcPr>
            <w:tcW w:w="6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Proceeds from</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exercise of</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(245)</w:t>
            </w:r>
            <w:r>
              <w:rPr>
                <w:rFonts w:ascii="Times New Roman" w:cs="Times New Roman" w:eastAsia="Times New Roman" w:hAnsi="Times New Roman"/>
                <w:sz w:val="14"/>
                <w:szCs w:val="14"/>
                <w:color w:val="auto"/>
                <w:vertAlign w:val="superscript"/>
              </w:rPr>
              <w:t>(i)</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(247)</w:t>
            </w:r>
            <w:r>
              <w:rPr>
                <w:rFonts w:ascii="Times New Roman" w:cs="Times New Roman" w:eastAsia="Times New Roman" w:hAnsi="Times New Roman"/>
                <w:sz w:val="14"/>
                <w:szCs w:val="14"/>
                <w:color w:val="auto"/>
                <w:vertAlign w:val="superscript"/>
              </w:rPr>
              <w:t>(i)</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share option</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503</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245</w:t>
            </w:r>
          </w:p>
        </w:tc>
        <w:tc>
          <w:tcPr>
            <w:tcW w:w="680" w:type="dxa"/>
            <w:vAlign w:val="bottom"/>
            <w:gridSpan w:val="2"/>
            <w:vMerge w:val="continue"/>
          </w:tcPr>
          <w:p>
            <w:pPr>
              <w:spacing w:after="0"/>
              <w:rPr>
                <w:sz w:val="10"/>
                <w:szCs w:val="1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503</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497</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247</w:t>
            </w:r>
          </w:p>
        </w:tc>
        <w:tc>
          <w:tcPr>
            <w:tcW w:w="660" w:type="dxa"/>
            <w:vAlign w:val="bottom"/>
            <w:gridSpan w:val="2"/>
            <w:vMerge w:val="continue"/>
          </w:tcPr>
          <w:p>
            <w:pPr>
              <w:spacing w:after="0"/>
              <w:rPr>
                <w:sz w:val="10"/>
                <w:szCs w:val="1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497</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Cash received</w:t>
            </w: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by</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subsidiaries</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from</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minority</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shareholders</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2,850</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97"/>
        </w:trPr>
        <w:tc>
          <w:tcPr>
            <w:tcW w:w="6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Capital</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injection</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from</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(485)</w:t>
            </w:r>
            <w:r>
              <w:rPr>
                <w:rFonts w:ascii="Times New Roman" w:cs="Times New Roman" w:eastAsia="Times New Roman" w:hAnsi="Times New Roman"/>
                <w:sz w:val="14"/>
                <w:szCs w:val="14"/>
                <w:color w:val="auto"/>
                <w:vertAlign w:val="superscript"/>
              </w:rPr>
              <w:t>(ii)</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color w:val="auto"/>
                <w:w w:val="98"/>
              </w:rPr>
              <w:t>(129,504)</w:t>
            </w:r>
            <w:r>
              <w:rPr>
                <w:rFonts w:ascii="Times New Roman" w:cs="Times New Roman" w:eastAsia="Times New Roman" w:hAnsi="Times New Roman"/>
                <w:sz w:val="14"/>
                <w:szCs w:val="14"/>
                <w:color w:val="auto"/>
                <w:w w:val="98"/>
                <w:vertAlign w:val="superscript"/>
              </w:rPr>
              <w:t>(ii)</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subsidiaries</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485</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continue"/>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129,504</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continue"/>
          </w:tcPr>
          <w:p>
            <w:pPr>
              <w:spacing w:after="0"/>
              <w:rPr>
                <w:sz w:val="10"/>
                <w:szCs w:val="1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Net cash</w:t>
            </w: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provided</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by/(used in)</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financing</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activities</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338,919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139,092</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516</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44,379</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(139,853)</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383,053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(2,506)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161,216</w:t>
            </w: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134,554</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272,644</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(424,017)</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141,891</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(6,659)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23,376</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(88,433)</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(29,417)</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w:t>
            </w: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Effect of</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6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exchange</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rate</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changes on</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cash and</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cash</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equivalents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(6,268)</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(3,752)</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(10,020)</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(2,381)</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(2,631)</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(5,012)</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884</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8,703</w:t>
            </w:r>
          </w:p>
        </w:tc>
        <w:tc>
          <w:tcPr>
            <w:tcW w:w="80" w:type="dxa"/>
            <w:vAlign w:val="bottom"/>
          </w:tcPr>
          <w:p>
            <w:pPr>
              <w:spacing w:after="0"/>
              <w:rPr>
                <w:sz w:val="10"/>
                <w:szCs w:val="10"/>
                <w:color w:val="auto"/>
              </w:rPr>
            </w:pP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640" w:type="dxa"/>
            <w:vAlign w:val="bottom"/>
            <w:shd w:val="clear" w:color="auto" w:fill="CCEEFF"/>
          </w:tcPr>
          <w:p>
            <w:pPr>
              <w:spacing w:after="0" w:line="83" w:lineRule="exact"/>
              <w:rPr>
                <w:sz w:val="20"/>
                <w:szCs w:val="20"/>
                <w:color w:val="auto"/>
              </w:rPr>
            </w:pPr>
            <w:r>
              <w:rPr>
                <w:rFonts w:ascii="Times New Roman" w:cs="Times New Roman" w:eastAsia="Times New Roman" w:hAnsi="Times New Roman"/>
                <w:sz w:val="8"/>
                <w:szCs w:val="8"/>
                <w:b w:val="1"/>
                <w:bCs w:val="1"/>
                <w:color w:val="auto"/>
              </w:rPr>
              <w:t>Net increase</w:t>
            </w: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in cash and</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cash</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equivalents</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and</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restricted</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cash</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187,155</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110,392</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514</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181,560</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479,621</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(170,926)</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(659)</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6,544</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45,077</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(119,964)</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(10,678)</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(2,031)</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(6,423)</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(213,767)</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(232,</w:t>
            </w:r>
          </w:p>
        </w:tc>
        <w:tc>
          <w:tcPr>
            <w:tcW w:w="0" w:type="dxa"/>
            <w:vAlign w:val="bottom"/>
          </w:tcPr>
          <w:p>
            <w:pPr>
              <w:spacing w:after="0"/>
              <w:rPr>
                <w:sz w:val="1"/>
                <w:szCs w:val="1"/>
                <w:color w:val="auto"/>
              </w:rPr>
            </w:pPr>
          </w:p>
        </w:tc>
      </w:tr>
      <w:tr>
        <w:trPr>
          <w:trHeight w:val="97"/>
        </w:trPr>
        <w:tc>
          <w:tcPr>
            <w:tcW w:w="6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Total cash and</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cash</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equivalents</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and</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restricted</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cash at</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color w:val="auto"/>
              </w:rPr>
              <w:t>beginning of</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year</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62</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881</w:t>
            </w:r>
          </w:p>
        </w:tc>
        <w:tc>
          <w:tcPr>
            <w:tcW w:w="100" w:type="dxa"/>
            <w:vAlign w:val="bottom"/>
          </w:tcPr>
          <w:p>
            <w:pPr>
              <w:spacing w:after="0"/>
              <w:rPr>
                <w:sz w:val="10"/>
                <w:szCs w:val="1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248,369</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249,327</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187,217</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111,273</w:t>
            </w:r>
          </w:p>
        </w:tc>
        <w:tc>
          <w:tcPr>
            <w:tcW w:w="8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529</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429,929</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728,948</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16,291</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110,614</w:t>
            </w:r>
          </w:p>
        </w:tc>
        <w:tc>
          <w:tcPr>
            <w:tcW w:w="8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7,073</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475,006</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608,</w:t>
            </w:r>
          </w:p>
        </w:tc>
        <w:tc>
          <w:tcPr>
            <w:tcW w:w="0" w:type="dxa"/>
            <w:vAlign w:val="bottom"/>
          </w:tcPr>
          <w:p>
            <w:pPr>
              <w:spacing w:after="0"/>
              <w:rPr>
                <w:sz w:val="1"/>
                <w:szCs w:val="1"/>
                <w:color w:val="auto"/>
              </w:rPr>
            </w:pPr>
          </w:p>
        </w:tc>
      </w:tr>
      <w:tr>
        <w:trPr>
          <w:trHeight w:val="95"/>
        </w:trPr>
        <w:tc>
          <w:tcPr>
            <w:tcW w:w="6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Total cash</w:t>
            </w:r>
          </w:p>
        </w:tc>
        <w:tc>
          <w:tcPr>
            <w:tcW w:w="4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and cash</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equivalents</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and</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restricted</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cash at end</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of year</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187,217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111,273</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529</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429,929</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728,948</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16,291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110,614</w:t>
            </w: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7,073</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475,006</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608,984</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5,613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108,583</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650</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261,239</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92075</wp:posOffset>
            </wp:positionV>
            <wp:extent cx="68897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8975" cy="7620"/>
                    </a:xfrm>
                    <a:prstGeom prst="rect">
                      <a:avLst/>
                    </a:prstGeom>
                    <a:noFill/>
                  </pic:spPr>
                </pic:pic>
              </a:graphicData>
            </a:graphic>
          </wp:anchor>
        </w:drawing>
      </w:r>
    </w:p>
    <w:p>
      <w:pPr>
        <w:spacing w:after="0" w:line="150" w:lineRule="exact"/>
        <w:rPr>
          <w:sz w:val="20"/>
          <w:szCs w:val="20"/>
          <w:color w:val="auto"/>
        </w:rPr>
      </w:pPr>
    </w:p>
    <w:p>
      <w:pPr>
        <w:ind w:left="700"/>
        <w:spacing w:after="0"/>
        <w:tabs>
          <w:tab w:leader="none" w:pos="1400" w:val="left"/>
        </w:tabs>
        <w:rPr>
          <w:sz w:val="20"/>
          <w:szCs w:val="20"/>
          <w:color w:val="auto"/>
        </w:rPr>
      </w:pPr>
      <w:r>
        <w:rPr>
          <w:rFonts w:ascii="Times New Roman" w:cs="Times New Roman" w:eastAsia="Times New Roman" w:hAnsi="Times New Roman"/>
          <w:sz w:val="13"/>
          <w:szCs w:val="13"/>
          <w:color w:val="auto"/>
        </w:rPr>
        <w:t>Note 3: (i)</w:t>
      </w:r>
      <w:r>
        <w:rPr>
          <w:sz w:val="20"/>
          <w:szCs w:val="20"/>
          <w:color w:val="auto"/>
        </w:rPr>
        <w:tab/>
      </w:r>
      <w:r>
        <w:rPr>
          <w:rFonts w:ascii="Times New Roman" w:cs="Times New Roman" w:eastAsia="Times New Roman" w:hAnsi="Times New Roman"/>
          <w:sz w:val="12"/>
          <w:szCs w:val="12"/>
          <w:color w:val="auto"/>
        </w:rPr>
        <w:t>The elimination represents the cash flow from exercise of share option between the parent company and the VIE and its subsidiaries.</w:t>
      </w:r>
    </w:p>
    <w:p>
      <w:pPr>
        <w:ind w:left="1380" w:hanging="255"/>
        <w:spacing w:after="0" w:line="212" w:lineRule="auto"/>
        <w:tabs>
          <w:tab w:leader="none" w:pos="1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elimination represents inter-company capital injections between subsidiaries and WFOE.</w:t>
      </w:r>
    </w:p>
    <w:p>
      <w:pPr>
        <w:ind w:left="1380" w:hanging="255"/>
        <w:spacing w:after="0"/>
        <w:tabs>
          <w:tab w:leader="none" w:pos="1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elimination represents inter-company loans among the parent company, its subsidiaries, WFOE and the VIE.</w:t>
      </w:r>
    </w:p>
    <w:p>
      <w:pPr>
        <w:spacing w:after="0" w:line="1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340"/>
          </w:cols>
          <w:pgMar w:left="320" w:top="447"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Selected Consolidated Financial Data</w:t>
      </w:r>
    </w:p>
    <w:p>
      <w:pPr>
        <w:spacing w:after="0" w:line="107" w:lineRule="exact"/>
        <w:rPr>
          <w:sz w:val="20"/>
          <w:szCs w:val="20"/>
          <w:color w:val="auto"/>
        </w:rPr>
      </w:pPr>
    </w:p>
    <w:p>
      <w:pPr>
        <w:ind w:left="700" w:right="40" w:firstLine="393"/>
        <w:spacing w:after="0" w:line="255" w:lineRule="auto"/>
        <w:rPr>
          <w:sz w:val="20"/>
          <w:szCs w:val="20"/>
          <w:color w:val="auto"/>
        </w:rPr>
      </w:pPr>
      <w:r>
        <w:rPr>
          <w:rFonts w:ascii="Times New Roman" w:cs="Times New Roman" w:eastAsia="Times New Roman" w:hAnsi="Times New Roman"/>
          <w:sz w:val="16"/>
          <w:szCs w:val="16"/>
          <w:color w:val="auto"/>
        </w:rPr>
        <w:t>The following selected consolidated statements of comprehensive (loss)/income data for the years ended December 31, 2020, 2021 and 2022, selected consolidated balance sheet data as of December 31, 2021 and 2022, and selected consolidated cash flow data for the years ended December 31, 2020, 2021 and 2022 have been derived from our audited consolidated financial statements included elsewhere in this annual report. The following selected consolidated statements of operations data for the years ended December 31, 2018 and 2019 have been derived from our audited consolidated financial statements not included in this annual report. The following selected consolidated balance sheet data as of December 31, 2018, 2019 and 2020, and selected consolidate cash flow data for the years ended December 31, 2018 and 2019 have been derived from our audited consolidated financial statements that are not included in this annual report. Our historical results do not necessarily indicate results expected for any future periods. The selected consolidated financial data should be read in conjunction with, and are qualified in their entirety by reference to, our audited consolidated financial statements and related notes and “Item 5. Operating and Financial Review and Prospects” below. Our consolidated financial statements are prepared and presented in accordance with accounting principles generally accepted in the United States of America, or U.S. GAAP.</w:t>
      </w:r>
    </w:p>
    <w:p>
      <w:pPr>
        <w:spacing w:after="0" w:line="185" w:lineRule="exact"/>
        <w:rPr>
          <w:sz w:val="20"/>
          <w:szCs w:val="20"/>
          <w:color w:val="auto"/>
        </w:rPr>
      </w:pPr>
    </w:p>
    <w:tbl>
      <w:tblPr>
        <w:tblLayout w:type="fixed"/>
        <w:tblInd w:w="700" w:type="dxa"/>
        <w:tblCellMar>
          <w:top w:w="0" w:type="dxa"/>
          <w:left w:w="0" w:type="dxa"/>
          <w:bottom w:w="0" w:type="dxa"/>
          <w:right w:w="0" w:type="dxa"/>
        </w:tblCellMar>
      </w:tblPr>
      <w:tr>
        <w:trPr>
          <w:trHeight w:val="155"/>
        </w:trPr>
        <w:tc>
          <w:tcPr>
            <w:tcW w:w="46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5"/>
        </w:trPr>
        <w:tc>
          <w:tcPr>
            <w:tcW w:w="4660" w:type="dxa"/>
            <w:vAlign w:val="bottom"/>
          </w:tcPr>
          <w:p>
            <w:pPr>
              <w:spacing w:after="0"/>
              <w:rPr>
                <w:sz w:val="10"/>
                <w:szCs w:val="10"/>
                <w:color w:val="auto"/>
              </w:rPr>
            </w:pPr>
          </w:p>
        </w:tc>
        <w:tc>
          <w:tcPr>
            <w:tcW w:w="620" w:type="dxa"/>
            <w:vAlign w:val="bottom"/>
          </w:tcPr>
          <w:p>
            <w:pPr>
              <w:ind w:left="180"/>
              <w:spacing w:after="0" w:line="125" w:lineRule="exact"/>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Pr>
          <w:p>
            <w:pPr>
              <w:spacing w:after="0"/>
              <w:rPr>
                <w:sz w:val="10"/>
                <w:szCs w:val="10"/>
                <w:color w:val="auto"/>
              </w:rPr>
            </w:pPr>
          </w:p>
        </w:tc>
        <w:tc>
          <w:tcPr>
            <w:tcW w:w="700" w:type="dxa"/>
            <w:vAlign w:val="bottom"/>
            <w:gridSpan w:val="2"/>
          </w:tcPr>
          <w:p>
            <w:pPr>
              <w:jc w:val="right"/>
              <w:ind w:right="103"/>
              <w:spacing w:after="0" w:line="125" w:lineRule="exact"/>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0"/>
                <w:szCs w:val="10"/>
                <w:color w:val="auto"/>
              </w:rPr>
            </w:pPr>
          </w:p>
        </w:tc>
        <w:tc>
          <w:tcPr>
            <w:tcW w:w="820" w:type="dxa"/>
            <w:vAlign w:val="bottom"/>
            <w:gridSpan w:val="2"/>
          </w:tcPr>
          <w:p>
            <w:pPr>
              <w:jc w:val="right"/>
              <w:ind w:right="163"/>
              <w:spacing w:after="0" w:line="125" w:lineRule="exact"/>
              <w:rPr>
                <w:sz w:val="20"/>
                <w:szCs w:val="20"/>
                <w:color w:val="auto"/>
              </w:rPr>
            </w:pPr>
            <w:r>
              <w:rPr>
                <w:rFonts w:ascii="Times New Roman" w:cs="Times New Roman" w:eastAsia="Times New Roman" w:hAnsi="Times New Roman"/>
                <w:sz w:val="13"/>
                <w:szCs w:val="13"/>
                <w:b w:val="1"/>
                <w:bCs w:val="1"/>
                <w:color w:val="auto"/>
              </w:rPr>
              <w:t>2020</w:t>
            </w:r>
          </w:p>
        </w:tc>
        <w:tc>
          <w:tcPr>
            <w:tcW w:w="200" w:type="dxa"/>
            <w:vAlign w:val="bottom"/>
          </w:tcPr>
          <w:p>
            <w:pPr>
              <w:spacing w:after="0"/>
              <w:rPr>
                <w:sz w:val="10"/>
                <w:szCs w:val="10"/>
                <w:color w:val="auto"/>
              </w:rPr>
            </w:pPr>
          </w:p>
        </w:tc>
        <w:tc>
          <w:tcPr>
            <w:tcW w:w="740" w:type="dxa"/>
            <w:vAlign w:val="bottom"/>
          </w:tcPr>
          <w:p>
            <w:pPr>
              <w:jc w:val="right"/>
              <w:ind w:right="161"/>
              <w:spacing w:after="0" w:line="125" w:lineRule="exact"/>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Pr>
          <w:p>
            <w:pPr>
              <w:spacing w:after="0"/>
              <w:rPr>
                <w:sz w:val="10"/>
                <w:szCs w:val="10"/>
                <w:color w:val="auto"/>
              </w:rPr>
            </w:pPr>
          </w:p>
        </w:tc>
        <w:tc>
          <w:tcPr>
            <w:tcW w:w="94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3"/>
                <w:szCs w:val="13"/>
                <w:b w:val="1"/>
                <w:bCs w:val="1"/>
                <w:color w:val="auto"/>
              </w:rPr>
              <w:t>2022</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466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ind w:right="81"/>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83"/>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43"/>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Borders>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41"/>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Borders>
              <w:bottom w:val="single" w:sz="8" w:color="auto"/>
            </w:tcBorders>
          </w:tcPr>
          <w:p>
            <w:pPr>
              <w:spacing w:after="0"/>
              <w:rPr>
                <w:sz w:val="10"/>
                <w:szCs w:val="10"/>
                <w:color w:val="auto"/>
              </w:rPr>
            </w:pPr>
          </w:p>
        </w:tc>
        <w:tc>
          <w:tcPr>
            <w:tcW w:w="940" w:type="dxa"/>
            <w:vAlign w:val="bottom"/>
            <w:tcBorders>
              <w:top w:val="single" w:sz="8" w:color="auto"/>
              <w:bottom w:val="single" w:sz="8" w:color="auto"/>
            </w:tcBorders>
            <w:gridSpan w:val="2"/>
          </w:tcPr>
          <w:p>
            <w:pPr>
              <w:jc w:val="right"/>
              <w:ind w:right="42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620" w:type="dxa"/>
            <w:vAlign w:val="bottom"/>
            <w:tcBorders>
              <w:top w:val="single" w:sz="8" w:color="auto"/>
              <w:bottom w:val="single" w:sz="8" w:color="auto"/>
            </w:tcBorders>
          </w:tcPr>
          <w:p>
            <w:pPr>
              <w:jc w:val="right"/>
              <w:ind w:right="120"/>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0"/>
                <w:szCs w:val="10"/>
                <w:color w:val="auto"/>
              </w:rPr>
            </w:pPr>
          </w:p>
        </w:tc>
      </w:tr>
      <w:tr>
        <w:trPr>
          <w:trHeight w:val="125"/>
        </w:trPr>
        <w:tc>
          <w:tcPr>
            <w:tcW w:w="4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20" w:type="dxa"/>
            <w:vAlign w:val="bottom"/>
            <w:gridSpan w:val="10"/>
          </w:tcPr>
          <w:p>
            <w:pPr>
              <w:jc w:val="right"/>
              <w:ind w:right="180"/>
              <w:spacing w:after="0" w:line="125" w:lineRule="exact"/>
              <w:rPr>
                <w:sz w:val="20"/>
                <w:szCs w:val="20"/>
                <w:color w:val="auto"/>
              </w:rPr>
            </w:pPr>
            <w:r>
              <w:rPr>
                <w:rFonts w:ascii="Times New Roman" w:cs="Times New Roman" w:eastAsia="Times New Roman" w:hAnsi="Times New Roman"/>
                <w:sz w:val="13"/>
                <w:szCs w:val="13"/>
                <w:b w:val="1"/>
                <w:bCs w:val="1"/>
                <w:color w:val="auto"/>
                <w:w w:val="99"/>
              </w:rPr>
              <w:t>(in thousands, except for percentages, share and per share data)</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4"/>
        </w:trPr>
        <w:tc>
          <w:tcPr>
            <w:tcW w:w="46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Summary Consolidated Statements of Comprehensive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1"/>
        </w:trPr>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(Loss)/Income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3"/>
        </w:trPr>
        <w:tc>
          <w:tcPr>
            <w:tcW w:w="46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4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Brokerage income</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503,547</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982,124</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1,215,434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2,232,253</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1,108,652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160,739</w:t>
            </w:r>
          </w:p>
        </w:tc>
        <w:tc>
          <w:tcPr>
            <w:tcW w:w="100" w:type="dxa"/>
            <w:vAlign w:val="bottom"/>
            <w:shd w:val="clear" w:color="auto" w:fill="CCEEFF"/>
          </w:tcPr>
          <w:p>
            <w:pPr>
              <w:spacing w:after="0"/>
              <w:rPr>
                <w:sz w:val="16"/>
                <w:szCs w:val="16"/>
                <w:color w:val="auto"/>
              </w:rPr>
            </w:pPr>
          </w:p>
        </w:tc>
      </w:tr>
      <w:tr>
        <w:trPr>
          <w:trHeight w:val="193"/>
        </w:trPr>
        <w:tc>
          <w:tcPr>
            <w:tcW w:w="4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income</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5,281</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11,195</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4,788</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12,763</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49,256</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7,141</w:t>
            </w:r>
          </w:p>
        </w:tc>
        <w:tc>
          <w:tcPr>
            <w:tcW w:w="100" w:type="dxa"/>
            <w:vAlign w:val="bottom"/>
          </w:tcPr>
          <w:p>
            <w:pPr>
              <w:spacing w:after="0"/>
              <w:rPr>
                <w:sz w:val="16"/>
                <w:szCs w:val="16"/>
                <w:color w:val="auto"/>
              </w:rPr>
            </w:pPr>
          </w:p>
        </w:tc>
      </w:tr>
      <w:tr>
        <w:trPr>
          <w:trHeight w:val="24"/>
        </w:trPr>
        <w:tc>
          <w:tcPr>
            <w:tcW w:w="4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revenue</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508,828</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993,319</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1,220,222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2,245,016</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1,157,908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167,880</w:t>
            </w:r>
          </w:p>
        </w:tc>
        <w:tc>
          <w:tcPr>
            <w:tcW w:w="100" w:type="dxa"/>
            <w:vAlign w:val="bottom"/>
            <w:shd w:val="clear" w:color="auto" w:fill="CCEEFF"/>
          </w:tcPr>
          <w:p>
            <w:pPr>
              <w:spacing w:after="0"/>
              <w:rPr>
                <w:sz w:val="16"/>
                <w:szCs w:val="16"/>
                <w:color w:val="auto"/>
              </w:rPr>
            </w:pPr>
          </w:p>
        </w:tc>
      </w:tr>
      <w:tr>
        <w:trPr>
          <w:trHeight w:val="197"/>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4660" w:type="dxa"/>
            <w:vAlign w:val="bottom"/>
            <w:shd w:val="clear" w:color="auto" w:fill="CCEEFF"/>
          </w:tcPr>
          <w:p>
            <w:pPr>
              <w:ind w:left="660"/>
              <w:spacing w:after="0" w:line="193" w:lineRule="exact"/>
              <w:rPr>
                <w:sz w:val="20"/>
                <w:szCs w:val="20"/>
                <w:color w:val="auto"/>
              </w:rPr>
            </w:pPr>
            <w:r>
              <w:rPr>
                <w:rFonts w:ascii="Times New Roman" w:cs="Times New Roman" w:eastAsia="Times New Roman" w:hAnsi="Times New Roman"/>
                <w:sz w:val="15"/>
                <w:szCs w:val="15"/>
                <w:color w:val="auto"/>
              </w:rPr>
              <w:t>Cost of revenue</w:t>
            </w:r>
            <w:r>
              <w:rPr>
                <w:rFonts w:ascii="Times New Roman" w:cs="Times New Roman" w:eastAsia="Times New Roman" w:hAnsi="Times New Roman"/>
                <w:sz w:val="22"/>
                <w:szCs w:val="22"/>
                <w:color w:val="auto"/>
                <w:vertAlign w:val="superscript"/>
              </w:rPr>
              <w:t>(1)</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(316,397)</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(629,531)</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(813,507)</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(1,688,087)</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(706,009)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(102,361)</w:t>
            </w:r>
          </w:p>
        </w:tc>
      </w:tr>
      <w:tr>
        <w:trPr>
          <w:trHeight w:val="193"/>
        </w:trPr>
        <w:tc>
          <w:tcPr>
            <w:tcW w:w="4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cost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(1,905)</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(1,837)</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(2,846)</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(2,670)</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(28,282)</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(4,101)</w:t>
            </w:r>
          </w:p>
        </w:tc>
      </w:tr>
      <w:tr>
        <w:trPr>
          <w:trHeight w:val="24"/>
        </w:trPr>
        <w:tc>
          <w:tcPr>
            <w:tcW w:w="4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costs</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(318,302)</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(631,368)</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(816,353)</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(1,690,757)</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(734,291)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(106,462)</w:t>
            </w:r>
          </w:p>
        </w:tc>
      </w:tr>
      <w:tr>
        <w:trPr>
          <w:trHeight w:val="193"/>
        </w:trPr>
        <w:tc>
          <w:tcPr>
            <w:tcW w:w="4660" w:type="dxa"/>
            <w:vAlign w:val="bottom"/>
          </w:tcPr>
          <w:p>
            <w:pPr>
              <w:spacing w:after="0" w:line="192" w:lineRule="exact"/>
              <w:rPr>
                <w:sz w:val="20"/>
                <w:szCs w:val="20"/>
                <w:color w:val="auto"/>
              </w:rPr>
            </w:pPr>
            <w:r>
              <w:rPr>
                <w:rFonts w:ascii="Times New Roman" w:cs="Times New Roman" w:eastAsia="Times New Roman" w:hAnsi="Times New Roman"/>
                <w:sz w:val="15"/>
                <w:szCs w:val="15"/>
                <w:color w:val="auto"/>
              </w:rPr>
              <w:t>Selling expenses</w:t>
            </w:r>
            <w:r>
              <w:rPr>
                <w:rFonts w:ascii="Times New Roman" w:cs="Times New Roman" w:eastAsia="Times New Roman" w:hAnsi="Times New Roman"/>
                <w:sz w:val="22"/>
                <w:szCs w:val="22"/>
                <w:color w:val="auto"/>
                <w:vertAlign w:val="superscript"/>
              </w:rPr>
              <w:t>(1)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(94,613)</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(164,665)</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(230,438)</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(350,573)</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(231,664)</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(33,588)</w:t>
            </w:r>
          </w:p>
        </w:tc>
      </w:tr>
      <w:tr>
        <w:trPr>
          <w:trHeight w:val="193"/>
        </w:trPr>
        <w:tc>
          <w:tcPr>
            <w:tcW w:w="46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5"/>
                <w:szCs w:val="15"/>
                <w:color w:val="auto"/>
              </w:rPr>
              <w:t>General and administrative expenses</w:t>
            </w:r>
            <w:r>
              <w:rPr>
                <w:rFonts w:ascii="Times New Roman" w:cs="Times New Roman" w:eastAsia="Times New Roman" w:hAnsi="Times New Roman"/>
                <w:sz w:val="22"/>
                <w:szCs w:val="22"/>
                <w:color w:val="auto"/>
                <w:vertAlign w:val="superscript"/>
              </w:rPr>
              <w:t>(1)</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(46,177)</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(161,816)</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(150,207)</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(197,619)</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(154,715)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(22,432)</w:t>
            </w:r>
          </w:p>
        </w:tc>
      </w:tr>
      <w:tr>
        <w:trPr>
          <w:trHeight w:val="193"/>
        </w:trPr>
        <w:tc>
          <w:tcPr>
            <w:tcW w:w="4660" w:type="dxa"/>
            <w:vAlign w:val="bottom"/>
          </w:tcPr>
          <w:p>
            <w:pPr>
              <w:spacing w:after="0" w:line="192" w:lineRule="exact"/>
              <w:rPr>
                <w:sz w:val="20"/>
                <w:szCs w:val="20"/>
                <w:color w:val="auto"/>
              </w:rPr>
            </w:pPr>
            <w:r>
              <w:rPr>
                <w:rFonts w:ascii="Times New Roman" w:cs="Times New Roman" w:eastAsia="Times New Roman" w:hAnsi="Times New Roman"/>
                <w:sz w:val="15"/>
                <w:szCs w:val="15"/>
                <w:color w:val="auto"/>
              </w:rPr>
              <w:t>Research and development expenses</w:t>
            </w:r>
            <w:r>
              <w:rPr>
                <w:rFonts w:ascii="Times New Roman" w:cs="Times New Roman" w:eastAsia="Times New Roman" w:hAnsi="Times New Roman"/>
                <w:sz w:val="22"/>
                <w:szCs w:val="22"/>
                <w:color w:val="auto"/>
                <w:vertAlign w:val="superscript"/>
              </w:rPr>
              <w:t>(1)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(24,944)</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(33,831)</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(49,135)</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(120,478)</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(80,911)</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(11,731)</w:t>
            </w:r>
          </w:p>
        </w:tc>
      </w:tr>
      <w:tr>
        <w:trPr>
          <w:trHeight w:val="24"/>
        </w:trPr>
        <w:tc>
          <w:tcPr>
            <w:tcW w:w="4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costs and expenses</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(484,036)</w:t>
            </w:r>
          </w:p>
        </w:tc>
        <w:tc>
          <w:tcPr>
            <w:tcW w:w="2780" w:type="dxa"/>
            <w:vAlign w:val="bottom"/>
            <w:gridSpan w:val="8"/>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(991,680)  (1,246,133)  (2,359,427)</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(1,201,581)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(174,213)</w:t>
            </w:r>
          </w:p>
        </w:tc>
      </w:tr>
      <w:tr>
        <w:trPr>
          <w:trHeight w:val="201"/>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(loss)/profit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24,792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(25,911)</w:t>
            </w: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(114,411)</w:t>
            </w: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(43,673)</w:t>
            </w:r>
          </w:p>
        </w:tc>
        <w:tc>
          <w:tcPr>
            <w:tcW w:w="2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(6,333)</w:t>
            </w:r>
          </w:p>
        </w:tc>
        <w:tc>
          <w:tcPr>
            <w:tcW w:w="100" w:type="dxa"/>
            <w:vAlign w:val="bottom"/>
          </w:tcPr>
          <w:p>
            <w:pPr>
              <w:spacing w:after="0"/>
              <w:rPr>
                <w:sz w:val="17"/>
                <w:szCs w:val="17"/>
                <w:color w:val="auto"/>
              </w:rPr>
            </w:pPr>
          </w:p>
        </w:tc>
      </w:tr>
      <w:tr>
        <w:trPr>
          <w:trHeight w:val="19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income/(expenses)</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4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Interest income/(expenses)</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(27,111)</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(190)</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(1,157)</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(3,206)</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(5,062)</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(734)</w:t>
            </w:r>
          </w:p>
        </w:tc>
      </w:tr>
      <w:tr>
        <w:trPr>
          <w:trHeight w:val="193"/>
        </w:trPr>
        <w:tc>
          <w:tcPr>
            <w:tcW w:w="4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Unrealized exchange income/(loss)</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(354)</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362</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r>
      <w:tr>
        <w:trPr>
          <w:trHeight w:val="193"/>
        </w:trPr>
        <w:tc>
          <w:tcPr>
            <w:tcW w:w="4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Investment income</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718</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137</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(5,328)</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(2,216)</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(321)</w:t>
            </w:r>
          </w:p>
        </w:tc>
      </w:tr>
      <w:tr>
        <w:trPr>
          <w:trHeight w:val="193"/>
        </w:trPr>
        <w:tc>
          <w:tcPr>
            <w:tcW w:w="4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Others, net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4,569</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12,676</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10,177</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12,627</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19,490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w:t>
            </w:r>
          </w:p>
        </w:tc>
        <w:tc>
          <w:tcPr>
            <w:tcW w:w="100" w:type="dxa"/>
            <w:vAlign w:val="bottom"/>
            <w:shd w:val="clear" w:color="auto" w:fill="CCEEFF"/>
          </w:tcPr>
          <w:p>
            <w:pPr>
              <w:spacing w:after="0"/>
              <w:rPr>
                <w:sz w:val="16"/>
                <w:szCs w:val="16"/>
                <w:color w:val="auto"/>
              </w:rPr>
            </w:pPr>
          </w:p>
        </w:tc>
      </w:tr>
      <w:tr>
        <w:trPr>
          <w:trHeight w:val="178"/>
        </w:trPr>
        <w:tc>
          <w:tcPr>
            <w:tcW w:w="466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(Loss)/profit before income tax, and share of income of equity</w:t>
            </w: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1"/>
        </w:trPr>
        <w:tc>
          <w:tcPr>
            <w:tcW w:w="46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method investee</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1,896</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15,205</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(16,763)</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(110,377)</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(31,540)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(4,573)</w:t>
            </w:r>
          </w:p>
        </w:tc>
      </w:tr>
      <w:tr>
        <w:trPr>
          <w:trHeight w:val="193"/>
        </w:trPr>
        <w:tc>
          <w:tcPr>
            <w:tcW w:w="4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Income tax expense</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(278)</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(1,768)</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3"/>
        </w:trPr>
        <w:tc>
          <w:tcPr>
            <w:tcW w:w="4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Share of income/(loss) of equity method investee</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1,310</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(180)</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239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2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(2,200)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(319)</w:t>
            </w:r>
          </w:p>
        </w:tc>
      </w:tr>
      <w:tr>
        <w:trPr>
          <w:trHeight w:val="24"/>
        </w:trPr>
        <w:tc>
          <w:tcPr>
            <w:tcW w:w="4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(loss)/profit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2,928</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14,968</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(18,292)</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(107,717)</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(33,740)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(4,892)</w:t>
            </w:r>
          </w:p>
        </w:tc>
      </w:tr>
      <w:tr>
        <w:trPr>
          <w:trHeight w:val="201"/>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profit/(loss) attributable to non-controlling interests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w:t>
            </w: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(2,553)</w:t>
            </w:r>
          </w:p>
        </w:tc>
        <w:tc>
          <w:tcPr>
            <w:tcW w:w="2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(370)</w:t>
            </w:r>
          </w:p>
        </w:tc>
        <w:tc>
          <w:tcPr>
            <w:tcW w:w="100" w:type="dxa"/>
            <w:vAlign w:val="bottom"/>
          </w:tcPr>
          <w:p>
            <w:pPr>
              <w:spacing w:after="0"/>
              <w:rPr>
                <w:sz w:val="17"/>
                <w:szCs w:val="17"/>
                <w:color w:val="auto"/>
              </w:rPr>
            </w:pPr>
          </w:p>
        </w:tc>
      </w:tr>
      <w:tr>
        <w:trPr>
          <w:trHeight w:val="19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(loss)/profit attributable to Huize Holding Limited</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3,152</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14,902</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(18,292)</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(107,666)</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(31,187)</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(4,522)</w:t>
            </w:r>
          </w:p>
        </w:tc>
      </w:tr>
      <w:tr>
        <w:trPr>
          <w:trHeight w:val="201"/>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Redeemable preferred shares redemption value accretion</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19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Allocation to redeemable preferred shares</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(1,558)</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(7,431)</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1,074</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7"/>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(21,492)</w:t>
            </w: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(107,666)</w:t>
            </w: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(31,187)</w:t>
            </w:r>
          </w:p>
        </w:tc>
        <w:tc>
          <w:tcPr>
            <w:tcW w:w="2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(4,522)</w:t>
            </w:r>
          </w:p>
        </w:tc>
        <w:tc>
          <w:tcPr>
            <w:tcW w:w="100" w:type="dxa"/>
            <w:vAlign w:val="bottom"/>
          </w:tcPr>
          <w:p>
            <w:pPr>
              <w:spacing w:after="0"/>
              <w:rPr>
                <w:sz w:val="17"/>
                <w:szCs w:val="17"/>
                <w:color w:val="auto"/>
              </w:rPr>
            </w:pPr>
          </w:p>
        </w:tc>
      </w:tr>
      <w:tr>
        <w:trPr>
          <w:trHeight w:val="329"/>
        </w:trPr>
        <w:tc>
          <w:tcPr>
            <w:tcW w:w="466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540"/>
          </w:cols>
          <w:pgMar w:left="320" w:top="447" w:right="10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0" w:lineRule="exact"/>
        <w:rPr>
          <w:sz w:val="20"/>
          <w:szCs w:val="20"/>
          <w:color w:val="auto"/>
        </w:rPr>
      </w:pPr>
    </w:p>
    <w:tbl>
      <w:tblPr>
        <w:tblLayout w:type="fixed"/>
        <w:tblInd w:w="700" w:type="dxa"/>
        <w:tblCellMar>
          <w:top w:w="0" w:type="dxa"/>
          <w:left w:w="0" w:type="dxa"/>
          <w:bottom w:w="0" w:type="dxa"/>
          <w:right w:w="0" w:type="dxa"/>
        </w:tblCellMar>
      </w:tblPr>
      <w:tr>
        <w:trPr>
          <w:trHeight w:val="155"/>
        </w:trPr>
        <w:tc>
          <w:tcPr>
            <w:tcW w:w="31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5"/>
        </w:trPr>
        <w:tc>
          <w:tcPr>
            <w:tcW w:w="3140" w:type="dxa"/>
            <w:vAlign w:val="bottom"/>
          </w:tcPr>
          <w:p>
            <w:pPr>
              <w:spacing w:after="0"/>
              <w:rPr>
                <w:sz w:val="10"/>
                <w:szCs w:val="10"/>
                <w:color w:val="auto"/>
              </w:rPr>
            </w:pPr>
          </w:p>
        </w:tc>
        <w:tc>
          <w:tcPr>
            <w:tcW w:w="860" w:type="dxa"/>
            <w:vAlign w:val="bottom"/>
            <w:tcBorders>
              <w:bottom w:val="single" w:sz="8" w:color="auto"/>
            </w:tcBorders>
          </w:tcPr>
          <w:p>
            <w:pPr>
              <w:jc w:val="right"/>
              <w:ind w:right="228"/>
              <w:spacing w:after="0" w:line="125" w:lineRule="exact"/>
              <w:rPr>
                <w:sz w:val="20"/>
                <w:szCs w:val="20"/>
                <w:color w:val="auto"/>
              </w:rPr>
            </w:pPr>
            <w:r>
              <w:rPr>
                <w:rFonts w:ascii="Times New Roman" w:cs="Times New Roman" w:eastAsia="Times New Roman" w:hAnsi="Times New Roman"/>
                <w:sz w:val="13"/>
                <w:szCs w:val="13"/>
                <w:b w:val="1"/>
                <w:bCs w:val="1"/>
                <w:color w:val="auto"/>
              </w:rPr>
              <w:t>2018</w:t>
            </w:r>
          </w:p>
        </w:tc>
        <w:tc>
          <w:tcPr>
            <w:tcW w:w="200" w:type="dxa"/>
            <w:vAlign w:val="bottom"/>
          </w:tcPr>
          <w:p>
            <w:pPr>
              <w:spacing w:after="0"/>
              <w:rPr>
                <w:sz w:val="10"/>
                <w:szCs w:val="10"/>
                <w:color w:val="auto"/>
              </w:rPr>
            </w:pPr>
          </w:p>
        </w:tc>
        <w:tc>
          <w:tcPr>
            <w:tcW w:w="860" w:type="dxa"/>
            <w:vAlign w:val="bottom"/>
            <w:tcBorders>
              <w:bottom w:val="single" w:sz="8" w:color="auto"/>
            </w:tcBorders>
          </w:tcPr>
          <w:p>
            <w:pPr>
              <w:jc w:val="right"/>
              <w:ind w:right="229"/>
              <w:spacing w:after="0" w:line="125" w:lineRule="exact"/>
              <w:rPr>
                <w:sz w:val="20"/>
                <w:szCs w:val="20"/>
                <w:color w:val="auto"/>
              </w:rPr>
            </w:pPr>
            <w:r>
              <w:rPr>
                <w:rFonts w:ascii="Times New Roman" w:cs="Times New Roman" w:eastAsia="Times New Roman" w:hAnsi="Times New Roman"/>
                <w:sz w:val="13"/>
                <w:szCs w:val="13"/>
                <w:b w:val="1"/>
                <w:bCs w:val="1"/>
                <w:color w:val="auto"/>
              </w:rPr>
              <w:t>2019</w:t>
            </w:r>
          </w:p>
        </w:tc>
        <w:tc>
          <w:tcPr>
            <w:tcW w:w="200" w:type="dxa"/>
            <w:vAlign w:val="bottom"/>
          </w:tcPr>
          <w:p>
            <w:pPr>
              <w:spacing w:after="0"/>
              <w:rPr>
                <w:sz w:val="10"/>
                <w:szCs w:val="10"/>
                <w:color w:val="auto"/>
              </w:rPr>
            </w:pPr>
          </w:p>
        </w:tc>
        <w:tc>
          <w:tcPr>
            <w:tcW w:w="860" w:type="dxa"/>
            <w:vAlign w:val="bottom"/>
            <w:tcBorders>
              <w:bottom w:val="single" w:sz="8" w:color="auto"/>
            </w:tcBorders>
          </w:tcPr>
          <w:p>
            <w:pPr>
              <w:jc w:val="right"/>
              <w:ind w:right="229"/>
              <w:spacing w:after="0" w:line="125" w:lineRule="exact"/>
              <w:rPr>
                <w:sz w:val="20"/>
                <w:szCs w:val="20"/>
                <w:color w:val="auto"/>
              </w:rPr>
            </w:pPr>
            <w:r>
              <w:rPr>
                <w:rFonts w:ascii="Times New Roman" w:cs="Times New Roman" w:eastAsia="Times New Roman" w:hAnsi="Times New Roman"/>
                <w:sz w:val="13"/>
                <w:szCs w:val="13"/>
                <w:b w:val="1"/>
                <w:bCs w:val="1"/>
                <w:color w:val="auto"/>
              </w:rPr>
              <w:t>2020</w:t>
            </w:r>
          </w:p>
        </w:tc>
        <w:tc>
          <w:tcPr>
            <w:tcW w:w="200" w:type="dxa"/>
            <w:vAlign w:val="bottom"/>
          </w:tcPr>
          <w:p>
            <w:pPr>
              <w:spacing w:after="0"/>
              <w:rPr>
                <w:sz w:val="10"/>
                <w:szCs w:val="10"/>
                <w:color w:val="auto"/>
              </w:rPr>
            </w:pPr>
          </w:p>
        </w:tc>
        <w:tc>
          <w:tcPr>
            <w:tcW w:w="1000" w:type="dxa"/>
            <w:vAlign w:val="bottom"/>
            <w:tcBorders>
              <w:bottom w:val="single" w:sz="8" w:color="auto"/>
            </w:tcBorders>
          </w:tcPr>
          <w:p>
            <w:pPr>
              <w:jc w:val="right"/>
              <w:ind w:right="288"/>
              <w:spacing w:after="0" w:line="125" w:lineRule="exact"/>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Pr>
          <w:p>
            <w:pPr>
              <w:spacing w:after="0"/>
              <w:rPr>
                <w:sz w:val="10"/>
                <w:szCs w:val="10"/>
                <w:color w:val="auto"/>
              </w:rPr>
            </w:pPr>
          </w:p>
        </w:tc>
        <w:tc>
          <w:tcPr>
            <w:tcW w:w="1260" w:type="dxa"/>
            <w:vAlign w:val="bottom"/>
            <w:tcBorders>
              <w:bottom w:val="single" w:sz="8" w:color="auto"/>
            </w:tcBorders>
            <w:gridSpan w:val="2"/>
          </w:tcPr>
          <w:p>
            <w:pPr>
              <w:jc w:val="right"/>
              <w:ind w:right="20"/>
              <w:spacing w:after="0" w:line="125" w:lineRule="exact"/>
              <w:rPr>
                <w:sz w:val="20"/>
                <w:szCs w:val="20"/>
                <w:color w:val="auto"/>
              </w:rPr>
            </w:pPr>
            <w:r>
              <w:rPr>
                <w:rFonts w:ascii="Times New Roman" w:cs="Times New Roman" w:eastAsia="Times New Roman" w:hAnsi="Times New Roman"/>
                <w:sz w:val="13"/>
                <w:szCs w:val="13"/>
                <w:b w:val="1"/>
                <w:bCs w:val="1"/>
                <w:color w:val="auto"/>
              </w:rPr>
              <w:t>2022</w:t>
            </w:r>
          </w:p>
        </w:tc>
        <w:tc>
          <w:tcPr>
            <w:tcW w:w="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3140" w:type="dxa"/>
            <w:vAlign w:val="bottom"/>
          </w:tcPr>
          <w:p>
            <w:pPr>
              <w:spacing w:after="0"/>
              <w:rPr>
                <w:sz w:val="10"/>
                <w:szCs w:val="10"/>
                <w:color w:val="auto"/>
              </w:rPr>
            </w:pPr>
          </w:p>
        </w:tc>
        <w:tc>
          <w:tcPr>
            <w:tcW w:w="860" w:type="dxa"/>
            <w:vAlign w:val="bottom"/>
            <w:tcBorders>
              <w:bottom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jc w:val="right"/>
              <w:ind w:right="60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960" w:type="dxa"/>
            <w:vAlign w:val="bottom"/>
            <w:tcBorders>
              <w:bottom w:val="single" w:sz="8" w:color="auto"/>
            </w:tcBorders>
          </w:tcPr>
          <w:p>
            <w:pPr>
              <w:jc w:val="right"/>
              <w:ind w:right="325"/>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0"/>
                <w:szCs w:val="10"/>
                <w:color w:val="auto"/>
              </w:rPr>
            </w:pPr>
          </w:p>
        </w:tc>
      </w:tr>
      <w:tr>
        <w:trPr>
          <w:trHeight w:val="125"/>
        </w:trPr>
        <w:tc>
          <w:tcPr>
            <w:tcW w:w="3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580" w:type="dxa"/>
            <w:vAlign w:val="bottom"/>
            <w:gridSpan w:val="8"/>
          </w:tcPr>
          <w:p>
            <w:pPr>
              <w:jc w:val="right"/>
              <w:ind w:right="600"/>
              <w:spacing w:after="0" w:line="125" w:lineRule="exact"/>
              <w:rPr>
                <w:sz w:val="20"/>
                <w:szCs w:val="20"/>
                <w:color w:val="auto"/>
              </w:rPr>
            </w:pPr>
            <w:r>
              <w:rPr>
                <w:rFonts w:ascii="Times New Roman" w:cs="Times New Roman" w:eastAsia="Times New Roman" w:hAnsi="Times New Roman"/>
                <w:sz w:val="13"/>
                <w:szCs w:val="13"/>
                <w:b w:val="1"/>
                <w:bCs w:val="1"/>
                <w:color w:val="auto"/>
              </w:rPr>
              <w:t>(In thousands, except for percentages, share and per share data)</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4"/>
        </w:trPr>
        <w:tc>
          <w:tcPr>
            <w:tcW w:w="31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Weighted average number of common</w:t>
            </w: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3"/>
        </w:trPr>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shares used in computing net (loss)/profit</w:t>
            </w: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7"/>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445,272,000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452,445,068</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963,817,614</w:t>
            </w:r>
          </w:p>
        </w:tc>
        <w:tc>
          <w:tcPr>
            <w:tcW w:w="2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1,021,861,206</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1,021,958,881</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1,021,958,881</w:t>
            </w:r>
          </w:p>
        </w:tc>
      </w:tr>
      <w:tr>
        <w:trPr>
          <w:trHeight w:val="174"/>
        </w:trPr>
        <w:tc>
          <w:tcPr>
            <w:tcW w:w="31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loss per share attributable to common</w:t>
            </w: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1"/>
        </w:trPr>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(0.06)</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(0.06)</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(0.02)</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(0.11)</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(0.03)</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(0.00)</w:t>
            </w:r>
          </w:p>
        </w:tc>
      </w:tr>
      <w:tr>
        <w:trPr>
          <w:trHeight w:val="20"/>
        </w:trPr>
        <w:tc>
          <w:tcPr>
            <w:tcW w:w="3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92075</wp:posOffset>
            </wp:positionV>
            <wp:extent cx="68897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8975" cy="7620"/>
                    </a:xfrm>
                    <a:prstGeom prst="rect">
                      <a:avLst/>
                    </a:prstGeom>
                    <a:noFill/>
                  </pic:spPr>
                </pic:pic>
              </a:graphicData>
            </a:graphic>
          </wp:anchor>
        </w:drawing>
      </w:r>
    </w:p>
    <w:p>
      <w:pPr>
        <w:spacing w:after="0" w:line="156" w:lineRule="exact"/>
        <w:rPr>
          <w:sz w:val="20"/>
          <w:szCs w:val="20"/>
          <w:color w:val="auto"/>
        </w:rPr>
      </w:pPr>
    </w:p>
    <w:p>
      <w:pPr>
        <w:ind w:left="1100" w:hanging="393"/>
        <w:spacing w:after="0"/>
        <w:tabs>
          <w:tab w:leader="none" w:pos="11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Share-based compensation expenses were allocated in operating costs and expenses as follows:</w:t>
      </w:r>
    </w:p>
    <w:p>
      <w:pPr>
        <w:spacing w:after="0" w:line="220" w:lineRule="exact"/>
        <w:rPr>
          <w:sz w:val="20"/>
          <w:szCs w:val="20"/>
          <w:color w:val="auto"/>
        </w:rPr>
      </w:pPr>
    </w:p>
    <w:tbl>
      <w:tblPr>
        <w:tblLayout w:type="fixed"/>
        <w:tblInd w:w="700" w:type="dxa"/>
        <w:tblCellMar>
          <w:top w:w="0" w:type="dxa"/>
          <w:left w:w="0" w:type="dxa"/>
          <w:bottom w:w="0" w:type="dxa"/>
          <w:right w:w="0" w:type="dxa"/>
        </w:tblCellMar>
      </w:tblPr>
      <w:tr>
        <w:trPr>
          <w:trHeight w:val="155"/>
        </w:trPr>
        <w:tc>
          <w:tcPr>
            <w:tcW w:w="63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5"/>
        </w:trPr>
        <w:tc>
          <w:tcPr>
            <w:tcW w:w="6360" w:type="dxa"/>
            <w:vAlign w:val="bottom"/>
          </w:tcPr>
          <w:p>
            <w:pPr>
              <w:spacing w:after="0"/>
              <w:rPr>
                <w:sz w:val="10"/>
                <w:szCs w:val="10"/>
                <w:color w:val="auto"/>
              </w:rPr>
            </w:pPr>
          </w:p>
        </w:tc>
        <w:tc>
          <w:tcPr>
            <w:tcW w:w="300" w:type="dxa"/>
            <w:vAlign w:val="bottom"/>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2018</w:t>
            </w:r>
          </w:p>
        </w:tc>
        <w:tc>
          <w:tcPr>
            <w:tcW w:w="140" w:type="dxa"/>
            <w:vAlign w:val="bottom"/>
          </w:tcPr>
          <w:p>
            <w:pPr>
              <w:spacing w:after="0"/>
              <w:rPr>
                <w:sz w:val="10"/>
                <w:szCs w:val="10"/>
                <w:color w:val="auto"/>
              </w:rPr>
            </w:pPr>
          </w:p>
        </w:tc>
        <w:tc>
          <w:tcPr>
            <w:tcW w:w="500" w:type="dxa"/>
            <w:vAlign w:val="bottom"/>
          </w:tcPr>
          <w:p>
            <w:pPr>
              <w:jc w:val="right"/>
              <w:ind w:right="44"/>
              <w:spacing w:after="0" w:line="125" w:lineRule="exact"/>
              <w:rPr>
                <w:sz w:val="20"/>
                <w:szCs w:val="20"/>
                <w:color w:val="auto"/>
              </w:rPr>
            </w:pPr>
            <w:r>
              <w:rPr>
                <w:rFonts w:ascii="Times New Roman" w:cs="Times New Roman" w:eastAsia="Times New Roman" w:hAnsi="Times New Roman"/>
                <w:sz w:val="13"/>
                <w:szCs w:val="13"/>
                <w:b w:val="1"/>
                <w:bCs w:val="1"/>
                <w:color w:val="auto"/>
              </w:rPr>
              <w:t>2019</w:t>
            </w:r>
          </w:p>
        </w:tc>
        <w:tc>
          <w:tcPr>
            <w:tcW w:w="40" w:type="dxa"/>
            <w:vAlign w:val="bottom"/>
          </w:tcPr>
          <w:p>
            <w:pPr>
              <w:spacing w:after="0"/>
              <w:rPr>
                <w:sz w:val="10"/>
                <w:szCs w:val="10"/>
                <w:color w:val="auto"/>
              </w:rPr>
            </w:pPr>
          </w:p>
        </w:tc>
        <w:tc>
          <w:tcPr>
            <w:tcW w:w="600" w:type="dxa"/>
            <w:vAlign w:val="bottom"/>
            <w:gridSpan w:val="2"/>
          </w:tcPr>
          <w:p>
            <w:pPr>
              <w:jc w:val="right"/>
              <w:ind w:right="48"/>
              <w:spacing w:after="0" w:line="125" w:lineRule="exact"/>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0"/>
                <w:szCs w:val="10"/>
                <w:color w:val="auto"/>
              </w:rPr>
            </w:pPr>
          </w:p>
        </w:tc>
        <w:tc>
          <w:tcPr>
            <w:tcW w:w="480" w:type="dxa"/>
            <w:vAlign w:val="bottom"/>
          </w:tcPr>
          <w:p>
            <w:pPr>
              <w:jc w:val="right"/>
              <w:ind w:right="44"/>
              <w:spacing w:after="0" w:line="125" w:lineRule="exact"/>
              <w:rPr>
                <w:sz w:val="20"/>
                <w:szCs w:val="20"/>
                <w:color w:val="auto"/>
              </w:rPr>
            </w:pPr>
            <w:r>
              <w:rPr>
                <w:rFonts w:ascii="Times New Roman" w:cs="Times New Roman" w:eastAsia="Times New Roman" w:hAnsi="Times New Roman"/>
                <w:sz w:val="13"/>
                <w:szCs w:val="13"/>
                <w:b w:val="1"/>
                <w:bCs w:val="1"/>
                <w:color w:val="auto"/>
              </w:rPr>
              <w:t>2021</w:t>
            </w:r>
          </w:p>
        </w:tc>
        <w:tc>
          <w:tcPr>
            <w:tcW w:w="240" w:type="dxa"/>
            <w:vAlign w:val="bottom"/>
          </w:tcPr>
          <w:p>
            <w:pPr>
              <w:spacing w:after="0"/>
              <w:rPr>
                <w:sz w:val="10"/>
                <w:szCs w:val="10"/>
                <w:color w:val="auto"/>
              </w:rPr>
            </w:pPr>
          </w:p>
        </w:tc>
        <w:tc>
          <w:tcPr>
            <w:tcW w:w="620" w:type="dxa"/>
            <w:vAlign w:val="bottom"/>
            <w:gridSpan w:val="2"/>
          </w:tcPr>
          <w:p>
            <w:pPr>
              <w:jc w:val="right"/>
              <w:ind w:right="20"/>
              <w:spacing w:after="0" w:line="125" w:lineRule="exact"/>
              <w:rPr>
                <w:sz w:val="20"/>
                <w:szCs w:val="20"/>
                <w:color w:val="auto"/>
              </w:rPr>
            </w:pPr>
            <w:r>
              <w:rPr>
                <w:rFonts w:ascii="Times New Roman" w:cs="Times New Roman" w:eastAsia="Times New Roman" w:hAnsi="Times New Roman"/>
                <w:sz w:val="13"/>
                <w:szCs w:val="13"/>
                <w:b w:val="1"/>
                <w:bCs w:val="1"/>
                <w:color w:val="auto"/>
              </w:rPr>
              <w:t>2022</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636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140" w:type="dxa"/>
            <w:vAlign w:val="bottom"/>
            <w:tcBorders>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24"/>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28"/>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Borders>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24"/>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Borders>
              <w:bottom w:val="single" w:sz="8" w:color="auto"/>
            </w:tcBorders>
          </w:tcPr>
          <w:p>
            <w:pPr>
              <w:spacing w:after="0"/>
              <w:rPr>
                <w:sz w:val="10"/>
                <w:szCs w:val="10"/>
                <w:color w:val="auto"/>
              </w:rPr>
            </w:pPr>
          </w:p>
        </w:tc>
        <w:tc>
          <w:tcPr>
            <w:tcW w:w="620" w:type="dxa"/>
            <w:vAlign w:val="bottom"/>
            <w:tcBorders>
              <w:top w:val="single" w:sz="8" w:color="auto"/>
              <w:bottom w:val="single" w:sz="8" w:color="auto"/>
            </w:tcBorders>
            <w:gridSpan w:val="2"/>
          </w:tcPr>
          <w:p>
            <w:pPr>
              <w:jc w:val="right"/>
              <w:ind w:right="28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380" w:type="dxa"/>
            <w:vAlign w:val="bottom"/>
            <w:tcBorders>
              <w:top w:val="single" w:sz="8" w:color="auto"/>
              <w:bottom w:val="single" w:sz="8" w:color="auto"/>
            </w:tcBorders>
          </w:tcPr>
          <w:p>
            <w:pPr>
              <w:jc w:val="right"/>
              <w:ind w:right="22"/>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r>
      <w:tr>
        <w:trPr>
          <w:trHeight w:val="125"/>
        </w:trPr>
        <w:tc>
          <w:tcPr>
            <w:tcW w:w="6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4"/>
          </w:tcPr>
          <w:p>
            <w:pPr>
              <w:jc w:val="right"/>
              <w:ind w:right="340"/>
              <w:spacing w:after="0" w:line="125"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9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410</w:t>
            </w: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(387)</w:t>
            </w: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r>
      <w:tr>
        <w:trPr>
          <w:trHeight w:val="19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Selling expenses</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6,514</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10,642</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(475)</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1,041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151</w:t>
            </w:r>
          </w:p>
        </w:tc>
      </w:tr>
      <w:tr>
        <w:trPr>
          <w:trHeight w:val="19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726</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87,980</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40,820</w:t>
            </w: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(665)</w:t>
            </w: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9,151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1,327</w:t>
            </w:r>
          </w:p>
        </w:tc>
        <w:tc>
          <w:tcPr>
            <w:tcW w:w="40" w:type="dxa"/>
            <w:vAlign w:val="bottom"/>
            <w:shd w:val="clear" w:color="auto" w:fill="CCEEFF"/>
          </w:tcPr>
          <w:p>
            <w:pPr>
              <w:spacing w:after="0"/>
              <w:rPr>
                <w:sz w:val="16"/>
                <w:szCs w:val="16"/>
                <w:color w:val="auto"/>
              </w:rPr>
            </w:pPr>
          </w:p>
        </w:tc>
      </w:tr>
      <w:tr>
        <w:trPr>
          <w:trHeight w:val="19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4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(297)</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208</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tcPr>
          <w:p>
            <w:pPr>
              <w:spacing w:after="0"/>
              <w:rPr>
                <w:sz w:val="16"/>
                <w:szCs w:val="16"/>
                <w:color w:val="auto"/>
              </w:rPr>
            </w:pPr>
          </w:p>
        </w:tc>
      </w:tr>
      <w:tr>
        <w:trPr>
          <w:trHeight w:val="24"/>
        </w:trPr>
        <w:tc>
          <w:tcPr>
            <w:tcW w:w="6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967</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94,958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52,253</w:t>
            </w:r>
          </w:p>
        </w:tc>
        <w:tc>
          <w:tcPr>
            <w:tcW w:w="14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(1,824)</w:t>
            </w: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5"/>
              </w:rPr>
              <w:t>10,411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1,510</w:t>
            </w:r>
          </w:p>
        </w:tc>
        <w:tc>
          <w:tcPr>
            <w:tcW w:w="40" w:type="dxa"/>
            <w:vAlign w:val="bottom"/>
            <w:shd w:val="clear" w:color="auto" w:fill="CCEEFF"/>
          </w:tcPr>
          <w:p>
            <w:pPr>
              <w:spacing w:after="0"/>
              <w:rPr>
                <w:sz w:val="16"/>
                <w:szCs w:val="16"/>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following table presents our selected consolidated balance sheet data as of the dates indicated:</w:t>
      </w:r>
    </w:p>
    <w:p>
      <w:pPr>
        <w:spacing w:after="0" w:line="220" w:lineRule="exact"/>
        <w:rPr>
          <w:sz w:val="20"/>
          <w:szCs w:val="20"/>
          <w:color w:val="auto"/>
        </w:rPr>
      </w:pPr>
    </w:p>
    <w:tbl>
      <w:tblPr>
        <w:tblLayout w:type="fixed"/>
        <w:tblInd w:w="700" w:type="dxa"/>
        <w:tblCellMar>
          <w:top w:w="0" w:type="dxa"/>
          <w:left w:w="0" w:type="dxa"/>
          <w:bottom w:w="0" w:type="dxa"/>
          <w:right w:w="0" w:type="dxa"/>
        </w:tblCellMar>
      </w:tblPr>
      <w:tr>
        <w:trPr>
          <w:trHeight w:val="155"/>
        </w:trPr>
        <w:tc>
          <w:tcPr>
            <w:tcW w:w="52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5"/>
        </w:trPr>
        <w:tc>
          <w:tcPr>
            <w:tcW w:w="5240" w:type="dxa"/>
            <w:vAlign w:val="bottom"/>
          </w:tcPr>
          <w:p>
            <w:pPr>
              <w:spacing w:after="0"/>
              <w:rPr>
                <w:sz w:val="10"/>
                <w:szCs w:val="10"/>
                <w:color w:val="auto"/>
              </w:rPr>
            </w:pPr>
          </w:p>
        </w:tc>
        <w:tc>
          <w:tcPr>
            <w:tcW w:w="580" w:type="dxa"/>
            <w:vAlign w:val="bottom"/>
            <w:tcBorders>
              <w:bottom w:val="single" w:sz="8" w:color="auto"/>
            </w:tcBorders>
          </w:tcPr>
          <w:p>
            <w:pPr>
              <w:jc w:val="right"/>
              <w:ind w:right="84"/>
              <w:spacing w:after="0" w:line="125" w:lineRule="exact"/>
              <w:rPr>
                <w:sz w:val="20"/>
                <w:szCs w:val="20"/>
                <w:color w:val="auto"/>
              </w:rPr>
            </w:pPr>
            <w:r>
              <w:rPr>
                <w:rFonts w:ascii="Times New Roman" w:cs="Times New Roman" w:eastAsia="Times New Roman" w:hAnsi="Times New Roman"/>
                <w:sz w:val="13"/>
                <w:szCs w:val="13"/>
                <w:b w:val="1"/>
                <w:bCs w:val="1"/>
                <w:color w:val="auto"/>
              </w:rPr>
              <w:t>2018</w:t>
            </w:r>
          </w:p>
        </w:tc>
        <w:tc>
          <w:tcPr>
            <w:tcW w:w="140" w:type="dxa"/>
            <w:vAlign w:val="bottom"/>
          </w:tcPr>
          <w:p>
            <w:pPr>
              <w:spacing w:after="0"/>
              <w:rPr>
                <w:sz w:val="10"/>
                <w:szCs w:val="10"/>
                <w:color w:val="auto"/>
              </w:rPr>
            </w:pPr>
          </w:p>
        </w:tc>
        <w:tc>
          <w:tcPr>
            <w:tcW w:w="580" w:type="dxa"/>
            <w:vAlign w:val="bottom"/>
            <w:tcBorders>
              <w:bottom w:val="single" w:sz="8" w:color="auto"/>
            </w:tcBorders>
          </w:tcPr>
          <w:p>
            <w:pPr>
              <w:jc w:val="right"/>
              <w:ind w:right="84"/>
              <w:spacing w:after="0" w:line="125" w:lineRule="exact"/>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0"/>
                <w:szCs w:val="10"/>
                <w:color w:val="auto"/>
              </w:rPr>
            </w:pPr>
          </w:p>
        </w:tc>
        <w:tc>
          <w:tcPr>
            <w:tcW w:w="700" w:type="dxa"/>
            <w:vAlign w:val="bottom"/>
            <w:tcBorders>
              <w:bottom w:val="single" w:sz="8" w:color="auto"/>
            </w:tcBorders>
          </w:tcPr>
          <w:p>
            <w:pPr>
              <w:jc w:val="right"/>
              <w:ind w:right="146"/>
              <w:spacing w:after="0" w:line="125" w:lineRule="exact"/>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0"/>
                <w:szCs w:val="10"/>
                <w:color w:val="auto"/>
              </w:rPr>
            </w:pPr>
          </w:p>
        </w:tc>
        <w:tc>
          <w:tcPr>
            <w:tcW w:w="700" w:type="dxa"/>
            <w:vAlign w:val="bottom"/>
            <w:tcBorders>
              <w:bottom w:val="single" w:sz="8" w:color="auto"/>
            </w:tcBorders>
          </w:tcPr>
          <w:p>
            <w:pPr>
              <w:jc w:val="right"/>
              <w:ind w:right="144"/>
              <w:spacing w:after="0" w:line="125" w:lineRule="exact"/>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Pr>
          <w:p>
            <w:pPr>
              <w:spacing w:after="0"/>
              <w:rPr>
                <w:sz w:val="10"/>
                <w:szCs w:val="10"/>
                <w:color w:val="auto"/>
              </w:rPr>
            </w:pPr>
          </w:p>
        </w:tc>
        <w:tc>
          <w:tcPr>
            <w:tcW w:w="840" w:type="dxa"/>
            <w:vAlign w:val="bottom"/>
            <w:tcBorders>
              <w:bottom w:val="single" w:sz="8" w:color="auto"/>
            </w:tcBorders>
            <w:gridSpan w:val="2"/>
          </w:tcPr>
          <w:p>
            <w:pPr>
              <w:jc w:val="right"/>
              <w:ind w:right="20"/>
              <w:spacing w:after="0" w:line="125" w:lineRule="exact"/>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5240" w:type="dxa"/>
            <w:vAlign w:val="bottom"/>
          </w:tcPr>
          <w:p>
            <w:pPr>
              <w:spacing w:after="0"/>
              <w:rPr>
                <w:sz w:val="10"/>
                <w:szCs w:val="10"/>
                <w:color w:val="auto"/>
              </w:rPr>
            </w:pPr>
          </w:p>
        </w:tc>
        <w:tc>
          <w:tcPr>
            <w:tcW w:w="580" w:type="dxa"/>
            <w:vAlign w:val="bottom"/>
            <w:tcBorders>
              <w:bottom w:val="single" w:sz="8" w:color="auto"/>
            </w:tcBorders>
          </w:tcPr>
          <w:p>
            <w:pPr>
              <w:jc w:val="right"/>
              <w:ind w:right="64"/>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64"/>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26"/>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24"/>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ind w:right="36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580" w:type="dxa"/>
            <w:vAlign w:val="bottom"/>
            <w:tcBorders>
              <w:bottom w:val="single" w:sz="8" w:color="auto"/>
            </w:tcBorders>
          </w:tcPr>
          <w:p>
            <w:pPr>
              <w:jc w:val="right"/>
              <w:ind w:right="102"/>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r>
      <w:tr>
        <w:trPr>
          <w:trHeight w:val="125"/>
        </w:trPr>
        <w:tc>
          <w:tcPr>
            <w:tcW w:w="5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4"/>
          </w:tcPr>
          <w:p>
            <w:pPr>
              <w:jc w:val="right"/>
              <w:ind w:right="480"/>
              <w:spacing w:after="0" w:line="125"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9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Consolidated Balance Sheet Data:</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6,640</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88,141</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404,618</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381,158</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277,168</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40,186</w:t>
            </w:r>
          </w:p>
        </w:tc>
      </w:tr>
      <w:tr>
        <w:trPr>
          <w:trHeight w:val="176"/>
        </w:trPr>
        <w:tc>
          <w:tcPr>
            <w:tcW w:w="524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6"/>
                <w:szCs w:val="16"/>
                <w:color w:val="auto"/>
              </w:rPr>
              <w:t>Restricted cash (including amounts of the consolidated VIE of</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93"/>
        </w:trPr>
        <w:tc>
          <w:tcPr>
            <w:tcW w:w="5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RMB145,599 thousand, RMB161,186 thousand,</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3"/>
        </w:trPr>
        <w:tc>
          <w:tcPr>
            <w:tcW w:w="5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RMB217,950 thousand, RMB151,995 thousand and</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3"/>
        </w:trPr>
        <w:tc>
          <w:tcPr>
            <w:tcW w:w="5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RMB55,458 thousand as of December 31, 2018, 2019, 2020, 2021 and</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9"/>
        </w:trPr>
        <w:tc>
          <w:tcPr>
            <w:tcW w:w="5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2022, respectively)</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145,631</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161,186</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324,330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227,826</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98,917</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14,342</w:t>
            </w:r>
          </w:p>
        </w:tc>
      </w:tr>
      <w:tr>
        <w:trPr>
          <w:trHeight w:val="19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108,434</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180,393</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232,589</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777,262</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250,667</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36,342</w:t>
            </w:r>
          </w:p>
        </w:tc>
      </w:tr>
      <w:tr>
        <w:trPr>
          <w:trHeight w:val="19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21,575</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23,395</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46,084</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73,001</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77,305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w:t>
            </w:r>
          </w:p>
        </w:tc>
        <w:tc>
          <w:tcPr>
            <w:tcW w:w="40" w:type="dxa"/>
            <w:vAlign w:val="bottom"/>
            <w:shd w:val="clear" w:color="auto" w:fill="CCEEFF"/>
          </w:tcPr>
          <w:p>
            <w:pPr>
              <w:spacing w:after="0"/>
              <w:rPr>
                <w:sz w:val="16"/>
                <w:szCs w:val="16"/>
                <w:color w:val="auto"/>
              </w:rPr>
            </w:pPr>
          </w:p>
        </w:tc>
      </w:tr>
      <w:tr>
        <w:trPr>
          <w:trHeight w:val="201"/>
        </w:trPr>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334,084</w:t>
            </w:r>
          </w:p>
        </w:tc>
        <w:tc>
          <w:tcPr>
            <w:tcW w:w="1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508,805</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1,335,976</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1,857,454</w:t>
            </w:r>
          </w:p>
        </w:tc>
        <w:tc>
          <w:tcPr>
            <w:tcW w:w="16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1,089,614</w:t>
            </w:r>
          </w:p>
        </w:tc>
        <w:tc>
          <w:tcPr>
            <w:tcW w:w="16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157,979</w:t>
            </w:r>
          </w:p>
        </w:tc>
        <w:tc>
          <w:tcPr>
            <w:tcW w:w="40" w:type="dxa"/>
            <w:vAlign w:val="bottom"/>
          </w:tcPr>
          <w:p>
            <w:pPr>
              <w:spacing w:after="0"/>
              <w:rPr>
                <w:sz w:val="17"/>
                <w:szCs w:val="17"/>
                <w:color w:val="auto"/>
              </w:rPr>
            </w:pPr>
          </w:p>
        </w:tc>
      </w:tr>
      <w:tr>
        <w:trPr>
          <w:trHeight w:val="176"/>
        </w:trPr>
        <w:tc>
          <w:tcPr>
            <w:tcW w:w="524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6"/>
                <w:szCs w:val="16"/>
                <w:color w:val="auto"/>
              </w:rPr>
              <w:t>Accounts payable (including amounts of the consolidated VIE and its</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93"/>
        </w:trPr>
        <w:tc>
          <w:tcPr>
            <w:tcW w:w="5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subsidiaries without recourse to the Company of RMB72,989 thousand,</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3"/>
        </w:trPr>
        <w:tc>
          <w:tcPr>
            <w:tcW w:w="5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RMB124,441 thousand, RMB227,532 thousand,</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3"/>
        </w:trPr>
        <w:tc>
          <w:tcPr>
            <w:tcW w:w="5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RMB680,183 thousand and RMB261,993 thousand as of December 31,</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9"/>
        </w:trPr>
        <w:tc>
          <w:tcPr>
            <w:tcW w:w="5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2018, 2019, 2020, 2021 and 2022, respectively)</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73,448</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124,441</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227,532</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680,369</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262,266</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38,025</w:t>
            </w:r>
          </w:p>
        </w:tc>
      </w:tr>
      <w:tr>
        <w:trPr>
          <w:trHeight w:val="325"/>
        </w:trPr>
        <w:tc>
          <w:tcPr>
            <w:tcW w:w="5240" w:type="dxa"/>
            <w:vAlign w:val="bottom"/>
          </w:tcPr>
          <w:p>
            <w:pPr>
              <w:ind w:left="4840"/>
              <w:spacing w:after="0"/>
              <w:rPr>
                <w:sz w:val="20"/>
                <w:szCs w:val="20"/>
                <w:color w:val="auto"/>
              </w:rPr>
            </w:pPr>
            <w:r>
              <w:rPr>
                <w:rFonts w:ascii="Times New Roman" w:cs="Times New Roman" w:eastAsia="Times New Roman" w:hAnsi="Times New Roman"/>
                <w:sz w:val="16"/>
                <w:szCs w:val="16"/>
                <w:color w:val="auto"/>
              </w:rPr>
              <w:t>18</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540"/>
          </w:cols>
          <w:pgMar w:left="320" w:top="447" w:right="10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0" w:lineRule="exact"/>
        <w:rPr>
          <w:sz w:val="20"/>
          <w:szCs w:val="20"/>
          <w:color w:val="auto"/>
        </w:rPr>
      </w:pPr>
    </w:p>
    <w:tbl>
      <w:tblPr>
        <w:tblLayout w:type="fixed"/>
        <w:tblInd w:w="700" w:type="dxa"/>
        <w:tblCellMar>
          <w:top w:w="0" w:type="dxa"/>
          <w:left w:w="0" w:type="dxa"/>
          <w:bottom w:w="0" w:type="dxa"/>
          <w:right w:w="0" w:type="dxa"/>
        </w:tblCellMar>
      </w:tblPr>
      <w:tr>
        <w:trPr>
          <w:trHeight w:val="155"/>
        </w:trPr>
        <w:tc>
          <w:tcPr>
            <w:tcW w:w="2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4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640" w:type="dxa"/>
            <w:vAlign w:val="bottom"/>
            <w:tcBorders>
              <w:bottom w:val="single" w:sz="8" w:color="auto"/>
            </w:tcBorders>
            <w:gridSpan w:val="2"/>
          </w:tcPr>
          <w:p>
            <w:pPr>
              <w:jc w:val="right"/>
              <w:ind w:right="126"/>
              <w:spacing w:after="0" w:line="125" w:lineRule="exact"/>
              <w:rPr>
                <w:sz w:val="20"/>
                <w:szCs w:val="20"/>
                <w:color w:val="auto"/>
              </w:rPr>
            </w:pPr>
            <w:r>
              <w:rPr>
                <w:rFonts w:ascii="Times New Roman" w:cs="Times New Roman" w:eastAsia="Times New Roman" w:hAnsi="Times New Roman"/>
                <w:sz w:val="13"/>
                <w:szCs w:val="13"/>
                <w:b w:val="1"/>
                <w:bCs w:val="1"/>
                <w:color w:val="auto"/>
              </w:rPr>
              <w:t>2018</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126"/>
              <w:spacing w:after="0" w:line="125" w:lineRule="exact"/>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auto"/>
            </w:tcBorders>
            <w:gridSpan w:val="2"/>
          </w:tcPr>
          <w:p>
            <w:pPr>
              <w:ind w:left="220"/>
              <w:spacing w:after="0" w:line="125" w:lineRule="exact"/>
              <w:rPr>
                <w:sz w:val="20"/>
                <w:szCs w:val="20"/>
                <w:color w:val="auto"/>
              </w:rPr>
            </w:pPr>
            <w:r>
              <w:rPr>
                <w:rFonts w:ascii="Times New Roman" w:cs="Times New Roman" w:eastAsia="Times New Roman" w:hAnsi="Times New Roman"/>
                <w:sz w:val="13"/>
                <w:szCs w:val="13"/>
                <w:b w:val="1"/>
                <w:bCs w:val="1"/>
                <w:color w:val="auto"/>
              </w:rPr>
              <w:t>2020</w:t>
            </w:r>
          </w:p>
        </w:tc>
        <w:tc>
          <w:tcPr>
            <w:tcW w:w="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bottom w:val="single" w:sz="8" w:color="auto"/>
            </w:tcBorders>
            <w:gridSpan w:val="2"/>
          </w:tcPr>
          <w:p>
            <w:pPr>
              <w:ind w:left="220"/>
              <w:spacing w:after="0" w:line="125" w:lineRule="exact"/>
              <w:rPr>
                <w:sz w:val="20"/>
                <w:szCs w:val="20"/>
                <w:color w:val="auto"/>
              </w:rPr>
            </w:pPr>
            <w:r>
              <w:rPr>
                <w:rFonts w:ascii="Times New Roman" w:cs="Times New Roman" w:eastAsia="Times New Roman" w:hAnsi="Times New Roman"/>
                <w:sz w:val="13"/>
                <w:szCs w:val="13"/>
                <w:b w:val="1"/>
                <w:bCs w:val="1"/>
                <w:color w:val="auto"/>
              </w:rPr>
              <w:t>2021</w:t>
            </w:r>
          </w:p>
        </w:tc>
        <w:tc>
          <w:tcPr>
            <w:tcW w:w="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bottom w:val="single" w:sz="8" w:color="auto"/>
            </w:tcBorders>
            <w:gridSpan w:val="3"/>
          </w:tcPr>
          <w:p>
            <w:pPr>
              <w:jc w:val="right"/>
              <w:ind w:right="20"/>
              <w:spacing w:after="0" w:line="125" w:lineRule="exact"/>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640" w:type="dxa"/>
            <w:vAlign w:val="bottom"/>
            <w:tcBorders>
              <w:bottom w:val="single" w:sz="8" w:color="auto"/>
            </w:tcBorders>
            <w:gridSpan w:val="2"/>
          </w:tcPr>
          <w:p>
            <w:pPr>
              <w:jc w:val="right"/>
              <w:ind w:right="106"/>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Borders>
              <w:bottom w:val="single" w:sz="8" w:color="auto"/>
            </w:tcBorders>
            <w:gridSpan w:val="2"/>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06"/>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ind w:left="10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ind w:left="16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tcPr>
          <w:p>
            <w:pPr>
              <w:jc w:val="right"/>
              <w:ind w:right="36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580" w:type="dxa"/>
            <w:vAlign w:val="bottom"/>
            <w:tcBorders>
              <w:bottom w:val="single" w:sz="8" w:color="auto"/>
            </w:tcBorders>
            <w:gridSpan w:val="2"/>
          </w:tcPr>
          <w:p>
            <w:pPr>
              <w:jc w:val="right"/>
              <w:ind w:right="180"/>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7"/>
          </w:tcPr>
          <w:p>
            <w:pPr>
              <w:jc w:val="right"/>
              <w:ind w:right="620"/>
              <w:spacing w:after="0" w:line="125"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40" w:type="dxa"/>
            <w:vAlign w:val="bottom"/>
            <w:shd w:val="clear" w:color="auto" w:fill="CCEEFF"/>
          </w:tcPr>
          <w:p>
            <w:pPr>
              <w:spacing w:after="0"/>
              <w:rPr>
                <w:sz w:val="15"/>
                <w:szCs w:val="15"/>
                <w:color w:val="auto"/>
              </w:rPr>
            </w:pPr>
          </w:p>
        </w:tc>
        <w:tc>
          <w:tcPr>
            <w:tcW w:w="48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6"/>
                <w:szCs w:val="16"/>
                <w:color w:val="auto"/>
              </w:rPr>
              <w:t>Insurance premium payables (including amounts of the consolidated</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0" w:type="dxa"/>
            <w:vAlign w:val="bottom"/>
            <w:shd w:val="clear" w:color="auto" w:fill="CCEEFF"/>
          </w:tcPr>
          <w:p>
            <w:pPr>
              <w:spacing w:after="0"/>
              <w:rPr>
                <w:sz w:val="16"/>
                <w:szCs w:val="16"/>
                <w:color w:val="auto"/>
              </w:rPr>
            </w:pPr>
          </w:p>
        </w:tc>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VIE and its subsidiaries without recourse to the Company of</w:t>
            </w: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shd w:val="clear" w:color="auto" w:fill="CCEEFF"/>
          </w:tcPr>
          <w:p>
            <w:pPr>
              <w:spacing w:after="0"/>
              <w:rPr>
                <w:sz w:val="16"/>
                <w:szCs w:val="16"/>
                <w:color w:val="auto"/>
              </w:rPr>
            </w:pPr>
          </w:p>
        </w:tc>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RMB114,447 thousand, RMB125,587 thousand,</w:t>
            </w: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shd w:val="clear" w:color="auto" w:fill="CCEEFF"/>
          </w:tcPr>
          <w:p>
            <w:pPr>
              <w:spacing w:after="0"/>
              <w:rPr>
                <w:sz w:val="16"/>
                <w:szCs w:val="16"/>
                <w:color w:val="auto"/>
              </w:rPr>
            </w:pPr>
          </w:p>
        </w:tc>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RMB187,219 thousand, RMB124,019 thousand and</w:t>
            </w: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shd w:val="clear" w:color="auto" w:fill="CCEEFF"/>
          </w:tcPr>
          <w:p>
            <w:pPr>
              <w:spacing w:after="0"/>
              <w:rPr>
                <w:sz w:val="16"/>
                <w:szCs w:val="16"/>
                <w:color w:val="auto"/>
              </w:rPr>
            </w:pPr>
          </w:p>
        </w:tc>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RMB27,567 thousand as of December 31, 2018, 2019, 2020, 2021</w:t>
            </w: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0" w:type="dxa"/>
            <w:vAlign w:val="bottom"/>
            <w:shd w:val="clear" w:color="auto" w:fill="CCEEFF"/>
          </w:tcPr>
          <w:p>
            <w:pPr>
              <w:spacing w:after="0"/>
              <w:rPr>
                <w:sz w:val="18"/>
                <w:szCs w:val="18"/>
                <w:color w:val="auto"/>
              </w:rPr>
            </w:pPr>
          </w:p>
        </w:tc>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and 2022, respectively)</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114,447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125,587</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187,219</w:t>
            </w:r>
          </w:p>
        </w:tc>
        <w:tc>
          <w:tcPr>
            <w:tcW w:w="9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124,019</w:t>
            </w: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27,567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4800" w:type="dxa"/>
            <w:vAlign w:val="bottom"/>
          </w:tcPr>
          <w:p>
            <w:pPr>
              <w:ind w:left="80"/>
              <w:spacing w:after="0" w:line="176" w:lineRule="exact"/>
              <w:rPr>
                <w:sz w:val="20"/>
                <w:szCs w:val="20"/>
                <w:color w:val="auto"/>
              </w:rPr>
            </w:pPr>
            <w:r>
              <w:rPr>
                <w:rFonts w:ascii="Times New Roman" w:cs="Times New Roman" w:eastAsia="Times New Roman" w:hAnsi="Times New Roman"/>
                <w:sz w:val="16"/>
                <w:szCs w:val="16"/>
                <w:color w:val="auto"/>
              </w:rPr>
              <w:t>Other payables and accrued expenses (including amounts of the</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 VIE and its subsidiaries without recourse to the</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Company of RMB60,599 thousand, RMB37,678 thousand,</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RMB39,421 thousand, RMB207,462 thousand and</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RMB195,136 thousand as of December 31, 2018, 2019, 2020, 2021</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and 2022, respectively)</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36,908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16"/>
              <w:spacing w:after="0"/>
              <w:rPr>
                <w:sz w:val="20"/>
                <w:szCs w:val="20"/>
                <w:color w:val="auto"/>
              </w:rPr>
            </w:pPr>
            <w:r>
              <w:rPr>
                <w:rFonts w:ascii="Times New Roman" w:cs="Times New Roman" w:eastAsia="Times New Roman" w:hAnsi="Times New Roman"/>
                <w:sz w:val="16"/>
                <w:szCs w:val="16"/>
                <w:color w:val="auto"/>
              </w:rPr>
              <w:t>30,211</w:t>
            </w:r>
          </w:p>
        </w:tc>
        <w:tc>
          <w:tcPr>
            <w:tcW w:w="100" w:type="dxa"/>
            <w:vAlign w:val="bottom"/>
          </w:tcPr>
          <w:p>
            <w:pPr>
              <w:spacing w:after="0"/>
              <w:rPr>
                <w:sz w:val="18"/>
                <w:szCs w:val="18"/>
                <w:color w:val="auto"/>
              </w:rPr>
            </w:pP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31,153</w:t>
            </w:r>
          </w:p>
        </w:tc>
        <w:tc>
          <w:tcPr>
            <w:tcW w:w="90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71,255</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58,251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40" w:type="dxa"/>
            <w:vAlign w:val="bottom"/>
            <w:shd w:val="clear" w:color="auto" w:fill="CCEEFF"/>
          </w:tcPr>
          <w:p>
            <w:pPr>
              <w:spacing w:after="0"/>
              <w:rPr>
                <w:sz w:val="15"/>
                <w:szCs w:val="15"/>
                <w:color w:val="auto"/>
              </w:rPr>
            </w:pPr>
          </w:p>
        </w:tc>
        <w:tc>
          <w:tcPr>
            <w:tcW w:w="4800" w:type="dxa"/>
            <w:vAlign w:val="bottom"/>
            <w:shd w:val="clear" w:color="auto" w:fill="CCEEFF"/>
          </w:tcPr>
          <w:p>
            <w:pPr>
              <w:ind w:left="80"/>
              <w:spacing w:after="0" w:line="177" w:lineRule="exact"/>
              <w:rPr>
                <w:sz w:val="20"/>
                <w:szCs w:val="20"/>
                <w:color w:val="auto"/>
              </w:rPr>
            </w:pPr>
            <w:r>
              <w:rPr>
                <w:rFonts w:ascii="Times New Roman" w:cs="Times New Roman" w:eastAsia="Times New Roman" w:hAnsi="Times New Roman"/>
                <w:sz w:val="16"/>
                <w:szCs w:val="16"/>
                <w:color w:val="auto"/>
              </w:rPr>
              <w:t>Payroll and welfare payable (including amounts of the consolidated</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0" w:type="dxa"/>
            <w:vAlign w:val="bottom"/>
            <w:shd w:val="clear" w:color="auto" w:fill="CCEEFF"/>
          </w:tcPr>
          <w:p>
            <w:pPr>
              <w:spacing w:after="0"/>
              <w:rPr>
                <w:sz w:val="16"/>
                <w:szCs w:val="16"/>
                <w:color w:val="auto"/>
              </w:rPr>
            </w:pPr>
          </w:p>
        </w:tc>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VIE and its subsidiaries without recourse to the Company of</w:t>
            </w: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shd w:val="clear" w:color="auto" w:fill="CCEEFF"/>
          </w:tcPr>
          <w:p>
            <w:pPr>
              <w:spacing w:after="0"/>
              <w:rPr>
                <w:sz w:val="16"/>
                <w:szCs w:val="16"/>
                <w:color w:val="auto"/>
              </w:rPr>
            </w:pPr>
          </w:p>
        </w:tc>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RMB31,850 thousand, RMB43,831 thousand, RMB52,564 thousand,</w:t>
            </w: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shd w:val="clear" w:color="auto" w:fill="CCEEFF"/>
          </w:tcPr>
          <w:p>
            <w:pPr>
              <w:spacing w:after="0"/>
              <w:rPr>
                <w:sz w:val="16"/>
                <w:szCs w:val="16"/>
                <w:color w:val="auto"/>
              </w:rPr>
            </w:pPr>
          </w:p>
        </w:tc>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RMB92,094 thousand and RMB39,674 thousand as of December 31,</w:t>
            </w: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0" w:type="dxa"/>
            <w:vAlign w:val="bottom"/>
            <w:shd w:val="clear" w:color="auto" w:fill="CCEEFF"/>
          </w:tcPr>
          <w:p>
            <w:pPr>
              <w:spacing w:after="0"/>
              <w:rPr>
                <w:sz w:val="18"/>
                <w:szCs w:val="18"/>
                <w:color w:val="auto"/>
              </w:rPr>
            </w:pPr>
          </w:p>
        </w:tc>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2018, 2019, 2020, 2021 and 2022, respectively)</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31,850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43,993</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63,919</w:t>
            </w:r>
          </w:p>
        </w:tc>
        <w:tc>
          <w:tcPr>
            <w:tcW w:w="9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93,451</w:t>
            </w: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43,938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4800" w:type="dxa"/>
            <w:vAlign w:val="bottom"/>
          </w:tcPr>
          <w:p>
            <w:pPr>
              <w:ind w:left="80"/>
              <w:spacing w:after="0" w:line="176" w:lineRule="exact"/>
              <w:rPr>
                <w:sz w:val="20"/>
                <w:szCs w:val="20"/>
                <w:color w:val="auto"/>
              </w:rPr>
            </w:pPr>
            <w:r>
              <w:rPr>
                <w:rFonts w:ascii="Times New Roman" w:cs="Times New Roman" w:eastAsia="Times New Roman" w:hAnsi="Times New Roman"/>
                <w:sz w:val="16"/>
                <w:szCs w:val="16"/>
                <w:color w:val="auto"/>
              </w:rPr>
              <w:t>Income taxes payable (including amounts of the consolidated VIE and</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its subsidiaries without recourse to the Company of</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RMB206 thousand, RMB206 thousand, RMB2,440 thousand,</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RMB2,440 thousand and RMB2,440 thousand as of December 31,</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2018, 2019, 2020, 2021 and 2022, respectively)</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16"/>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2,440</w:t>
            </w:r>
          </w:p>
        </w:tc>
        <w:tc>
          <w:tcPr>
            <w:tcW w:w="90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2,440</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2,440</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193"/>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297,549</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362,831</w:t>
            </w:r>
          </w:p>
        </w:tc>
        <w:tc>
          <w:tcPr>
            <w:tcW w:w="10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867,293</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1,496,541</w:t>
            </w:r>
          </w:p>
        </w:tc>
        <w:tc>
          <w:tcPr>
            <w:tcW w:w="20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747,589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108,391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mezzanine equity</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421,773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454,627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6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5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shareholders’ (deficit)/equity</w:t>
            </w:r>
          </w:p>
        </w:tc>
        <w:tc>
          <w:tcPr>
            <w:tcW w:w="7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(385,238)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(308,653)</w:t>
            </w:r>
          </w:p>
        </w:tc>
        <w:tc>
          <w:tcPr>
            <w:tcW w:w="10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468,683</w:t>
            </w:r>
          </w:p>
        </w:tc>
        <w:tc>
          <w:tcPr>
            <w:tcW w:w="9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360,913</w:t>
            </w: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342,025</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49,588</w:t>
            </w:r>
          </w:p>
        </w:tc>
        <w:tc>
          <w:tcPr>
            <w:tcW w:w="0" w:type="dxa"/>
            <w:vAlign w:val="bottom"/>
          </w:tcPr>
          <w:p>
            <w:pPr>
              <w:spacing w:after="0"/>
              <w:rPr>
                <w:sz w:val="1"/>
                <w:szCs w:val="1"/>
                <w:color w:val="auto"/>
              </w:rPr>
            </w:pPr>
          </w:p>
        </w:tc>
      </w:tr>
      <w:tr>
        <w:trPr>
          <w:trHeight w:val="197"/>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 mezzanine equity and shareholders’ (deficit)/equity</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334,084</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508,805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1,335,976</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1,857,454</w:t>
            </w:r>
          </w:p>
        </w:tc>
        <w:tc>
          <w:tcPr>
            <w:tcW w:w="200" w:type="dxa"/>
            <w:vAlign w:val="bottom"/>
          </w:tcPr>
          <w:p>
            <w:pPr>
              <w:spacing w:after="0"/>
              <w:rPr>
                <w:sz w:val="17"/>
                <w:szCs w:val="17"/>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1,089,614</w:t>
            </w:r>
          </w:p>
        </w:tc>
        <w:tc>
          <w:tcPr>
            <w:tcW w:w="160" w:type="dxa"/>
            <w:vAlign w:val="bottom"/>
          </w:tcPr>
          <w:p>
            <w:pPr>
              <w:spacing w:after="0"/>
              <w:rPr>
                <w:sz w:val="17"/>
                <w:szCs w:val="17"/>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157,979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240" w:type="dxa"/>
            <w:vAlign w:val="bottom"/>
          </w:tcPr>
          <w:p>
            <w:pPr>
              <w:spacing w:after="0"/>
              <w:rPr>
                <w:sz w:val="24"/>
                <w:szCs w:val="24"/>
                <w:color w:val="auto"/>
              </w:rPr>
            </w:pPr>
          </w:p>
        </w:tc>
        <w:tc>
          <w:tcPr>
            <w:tcW w:w="6440" w:type="dxa"/>
            <w:vAlign w:val="bottom"/>
            <w:gridSpan w:val="11"/>
          </w:tcPr>
          <w:p>
            <w:pPr>
              <w:ind w:left="160"/>
              <w:spacing w:after="0"/>
              <w:rPr>
                <w:sz w:val="20"/>
                <w:szCs w:val="20"/>
                <w:color w:val="auto"/>
              </w:rPr>
            </w:pPr>
            <w:r>
              <w:rPr>
                <w:rFonts w:ascii="Times New Roman" w:cs="Times New Roman" w:eastAsia="Times New Roman" w:hAnsi="Times New Roman"/>
                <w:sz w:val="16"/>
                <w:szCs w:val="16"/>
                <w:color w:val="auto"/>
              </w:rPr>
              <w:t>The following table sets forth our selected consolidated cash flow data for the years indicated: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4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rPr>
              <w:t>2018</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tcPr>
          <w:p>
            <w:pPr>
              <w:jc w:val="right"/>
              <w:ind w:right="6"/>
              <w:spacing w:after="0" w:line="125" w:lineRule="exact"/>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91"/>
              <w:spacing w:after="0" w:line="125" w:lineRule="exact"/>
              <w:rPr>
                <w:sz w:val="20"/>
                <w:szCs w:val="20"/>
                <w:color w:val="auto"/>
              </w:rPr>
            </w:pPr>
            <w:r>
              <w:rPr>
                <w:rFonts w:ascii="Times New Roman" w:cs="Times New Roman" w:eastAsia="Times New Roman" w:hAnsi="Times New Roman"/>
                <w:sz w:val="13"/>
                <w:szCs w:val="13"/>
                <w:b w:val="1"/>
                <w:bCs w:val="1"/>
                <w:color w:val="auto"/>
              </w:rPr>
              <w:t>2020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ind w:left="220"/>
              <w:spacing w:after="0" w:line="125" w:lineRule="exact"/>
              <w:rPr>
                <w:sz w:val="20"/>
                <w:szCs w:val="20"/>
                <w:color w:val="auto"/>
              </w:rPr>
            </w:pPr>
            <w:r>
              <w:rPr>
                <w:rFonts w:ascii="Times New Roman" w:cs="Times New Roman" w:eastAsia="Times New Roman" w:hAnsi="Times New Roman"/>
                <w:sz w:val="13"/>
                <w:szCs w:val="13"/>
                <w:b w:val="1"/>
                <w:bCs w:val="1"/>
                <w:color w:val="auto"/>
              </w:rPr>
              <w:t>2021</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3"/>
          </w:tcPr>
          <w:p>
            <w:pPr>
              <w:jc w:val="right"/>
              <w:ind w:right="40"/>
              <w:spacing w:after="0" w:line="125" w:lineRule="exact"/>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Borders>
              <w:top w:val="single" w:sz="8" w:color="auto"/>
              <w:bottom w:val="single" w:sz="8" w:color="auto"/>
            </w:tcBorders>
            <w:gridSpan w:val="3"/>
          </w:tcPr>
          <w:p>
            <w:pPr>
              <w:jc w:val="right"/>
              <w:ind w:right="14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Borders>
              <w:bottom w:val="single" w:sz="8" w:color="auto"/>
            </w:tcBorders>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top w:val="single" w:sz="8" w:color="auto"/>
              <w:bottom w:val="single" w:sz="8" w:color="auto"/>
            </w:tcBorders>
            <w:gridSpan w:val="2"/>
          </w:tcPr>
          <w:p>
            <w:pPr>
              <w:jc w:val="right"/>
              <w:ind w:right="76"/>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71"/>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Borders>
              <w:bottom w:val="single" w:sz="8" w:color="auto"/>
            </w:tcBorders>
            <w:gridSpan w:val="2"/>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ind w:left="16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Borders>
              <w:bottom w:val="single" w:sz="8" w:color="auto"/>
            </w:tcBorders>
            <w:gridSpan w:val="2"/>
          </w:tcPr>
          <w:p>
            <w:pPr>
              <w:spacing w:after="0"/>
              <w:rPr>
                <w:sz w:val="10"/>
                <w:szCs w:val="10"/>
                <w:color w:val="auto"/>
              </w:rPr>
            </w:pPr>
          </w:p>
        </w:tc>
        <w:tc>
          <w:tcPr>
            <w:tcW w:w="800" w:type="dxa"/>
            <w:vAlign w:val="bottom"/>
            <w:tcBorders>
              <w:top w:val="single" w:sz="8" w:color="auto"/>
              <w:bottom w:val="single" w:sz="8" w:color="auto"/>
            </w:tcBorders>
            <w:gridSpan w:val="3"/>
          </w:tcPr>
          <w:p>
            <w:pPr>
              <w:jc w:val="right"/>
              <w:ind w:right="38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520" w:type="dxa"/>
            <w:vAlign w:val="bottom"/>
            <w:tcBorders>
              <w:top w:val="single" w:sz="8" w:color="auto"/>
              <w:bottom w:val="single" w:sz="8" w:color="auto"/>
            </w:tcBorders>
          </w:tcPr>
          <w:p>
            <w:pPr>
              <w:jc w:val="right"/>
              <w:ind w:right="82"/>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7"/>
          </w:tcPr>
          <w:p>
            <w:pPr>
              <w:jc w:val="right"/>
              <w:ind w:right="540"/>
              <w:spacing w:after="0" w:line="125"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Consolidated Cash Flow Data:</w:t>
            </w: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82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66,853</w:t>
            </w:r>
          </w:p>
        </w:tc>
        <w:tc>
          <w:tcPr>
            <w:tcW w:w="40" w:type="dxa"/>
            <w:vAlign w:val="bottom"/>
          </w:tcPr>
          <w:p>
            <w:pPr>
              <w:spacing w:after="0"/>
              <w:rPr>
                <w:sz w:val="16"/>
                <w:szCs w:val="16"/>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118,024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137,666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(175,917)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(85,067)</w:t>
            </w:r>
          </w:p>
        </w:tc>
        <w:tc>
          <w:tcPr>
            <w:tcW w:w="160" w:type="dxa"/>
            <w:vAlign w:val="bottom"/>
          </w:tcPr>
          <w:p>
            <w:pPr>
              <w:spacing w:after="0"/>
              <w:rPr>
                <w:sz w:val="16"/>
                <w:szCs w:val="16"/>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(12,332)</w:t>
            </w:r>
          </w:p>
        </w:tc>
        <w:tc>
          <w:tcPr>
            <w:tcW w:w="0" w:type="dxa"/>
            <w:vAlign w:val="bottom"/>
          </w:tcPr>
          <w:p>
            <w:pPr>
              <w:spacing w:after="0"/>
              <w:rPr>
                <w:sz w:val="1"/>
                <w:szCs w:val="1"/>
                <w:color w:val="auto"/>
              </w:rPr>
            </w:pPr>
          </w:p>
        </w:tc>
      </w:tr>
      <w:tr>
        <w:trPr>
          <w:trHeight w:val="193"/>
        </w:trPr>
        <w:tc>
          <w:tcPr>
            <w:tcW w:w="240" w:type="dxa"/>
            <w:vAlign w:val="bottom"/>
            <w:shd w:val="clear" w:color="auto" w:fill="CCEEFF"/>
          </w:tcPr>
          <w:p>
            <w:pPr>
              <w:spacing w:after="0"/>
              <w:rPr>
                <w:sz w:val="16"/>
                <w:szCs w:val="16"/>
                <w:color w:val="auto"/>
              </w:rPr>
            </w:pPr>
          </w:p>
        </w:tc>
        <w:tc>
          <w:tcPr>
            <w:tcW w:w="4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cash provided by/(used in) investing activities</w:t>
            </w:r>
          </w:p>
        </w:tc>
        <w:tc>
          <w:tcPr>
            <w:tcW w:w="8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(3,554)</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(6,927)</w:t>
            </w: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(31,078)</w:t>
            </w:r>
          </w:p>
        </w:tc>
        <w:tc>
          <w:tcPr>
            <w:tcW w:w="900" w:type="dxa"/>
            <w:vAlign w:val="bottom"/>
            <w:tcBorders>
              <w:right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(80,926)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(56,286)</w:t>
            </w:r>
          </w:p>
        </w:tc>
        <w:tc>
          <w:tcPr>
            <w:tcW w:w="16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(8,161)</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cash provided by/(used in) financing activities</w:t>
            </w:r>
          </w:p>
        </w:tc>
        <w:tc>
          <w:tcPr>
            <w:tcW w:w="20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48,572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(14,079)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383,053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141,891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(101,133)</w:t>
            </w:r>
          </w:p>
        </w:tc>
        <w:tc>
          <w:tcPr>
            <w:tcW w:w="160" w:type="dxa"/>
            <w:vAlign w:val="bottom"/>
          </w:tcPr>
          <w:p>
            <w:pPr>
              <w:spacing w:after="0"/>
              <w:rPr>
                <w:sz w:val="16"/>
                <w:szCs w:val="16"/>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(14,663)</w:t>
            </w: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0" w:type="dxa"/>
            <w:vAlign w:val="bottom"/>
            <w:shd w:val="clear" w:color="auto" w:fill="CCEEFF"/>
          </w:tcPr>
          <w:p>
            <w:pPr>
              <w:spacing w:after="0"/>
              <w:rPr>
                <w:sz w:val="16"/>
                <w:szCs w:val="16"/>
                <w:color w:val="auto"/>
              </w:rPr>
            </w:pPr>
          </w:p>
        </w:tc>
        <w:tc>
          <w:tcPr>
            <w:tcW w:w="4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0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w:t>
            </w: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(10,020)</w:t>
            </w:r>
          </w:p>
        </w:tc>
        <w:tc>
          <w:tcPr>
            <w:tcW w:w="900" w:type="dxa"/>
            <w:vAlign w:val="bottom"/>
            <w:tcBorders>
              <w:right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(5,012)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9,587</w:t>
            </w: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(decrease)/ increase in cash and cash equivalents and restricted cash</w:t>
            </w:r>
          </w:p>
        </w:tc>
        <w:tc>
          <w:tcPr>
            <w:tcW w:w="82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111,991</w:t>
            </w:r>
          </w:p>
        </w:tc>
        <w:tc>
          <w:tcPr>
            <w:tcW w:w="40" w:type="dxa"/>
            <w:vAlign w:val="bottom"/>
          </w:tcPr>
          <w:p>
            <w:pPr>
              <w:spacing w:after="0"/>
              <w:rPr>
                <w:sz w:val="16"/>
                <w:szCs w:val="16"/>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97,056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479,621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(119,964)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(232,899)</w:t>
            </w:r>
          </w:p>
        </w:tc>
        <w:tc>
          <w:tcPr>
            <w:tcW w:w="160" w:type="dxa"/>
            <w:vAlign w:val="bottom"/>
          </w:tcPr>
          <w:p>
            <w:pPr>
              <w:spacing w:after="0"/>
              <w:rPr>
                <w:sz w:val="16"/>
                <w:szCs w:val="16"/>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(33,766)</w:t>
            </w:r>
          </w:p>
        </w:tc>
        <w:tc>
          <w:tcPr>
            <w:tcW w:w="0" w:type="dxa"/>
            <w:vAlign w:val="bottom"/>
          </w:tcPr>
          <w:p>
            <w:pPr>
              <w:spacing w:after="0"/>
              <w:rPr>
                <w:sz w:val="1"/>
                <w:szCs w:val="1"/>
                <w:color w:val="auto"/>
              </w:rPr>
            </w:pPr>
          </w:p>
        </w:tc>
      </w:tr>
      <w:tr>
        <w:trPr>
          <w:trHeight w:val="176"/>
        </w:trPr>
        <w:tc>
          <w:tcPr>
            <w:tcW w:w="240" w:type="dxa"/>
            <w:vAlign w:val="bottom"/>
            <w:shd w:val="clear" w:color="auto" w:fill="CCEEFF"/>
          </w:tcPr>
          <w:p>
            <w:pPr>
              <w:spacing w:after="0"/>
              <w:rPr>
                <w:sz w:val="15"/>
                <w:szCs w:val="15"/>
                <w:color w:val="auto"/>
              </w:rPr>
            </w:pPr>
          </w:p>
        </w:tc>
        <w:tc>
          <w:tcPr>
            <w:tcW w:w="48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6"/>
                <w:szCs w:val="16"/>
                <w:color w:val="auto"/>
              </w:rPr>
              <w:t>Total cash and cash equivalents and restricted cash at beginning of the</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0" w:type="dxa"/>
            <w:vAlign w:val="bottom"/>
            <w:shd w:val="clear" w:color="auto" w:fill="CCEEFF"/>
          </w:tcPr>
          <w:p>
            <w:pPr>
              <w:spacing w:after="0"/>
              <w:rPr>
                <w:sz w:val="18"/>
                <w:szCs w:val="18"/>
                <w:color w:val="auto"/>
              </w:rPr>
            </w:pPr>
          </w:p>
        </w:tc>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year</w:t>
            </w:r>
          </w:p>
        </w:tc>
        <w:tc>
          <w:tcPr>
            <w:tcW w:w="8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40,280</w:t>
            </w:r>
          </w:p>
        </w:tc>
        <w:tc>
          <w:tcPr>
            <w:tcW w:w="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152,271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728,948</w:t>
            </w:r>
          </w:p>
        </w:tc>
        <w:tc>
          <w:tcPr>
            <w:tcW w:w="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608,984</w:t>
            </w: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88,294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cash and cash equivalents and restricted cash at end of the year</w:t>
            </w:r>
          </w:p>
        </w:tc>
        <w:tc>
          <w:tcPr>
            <w:tcW w:w="200" w:type="dxa"/>
            <w:vAlign w:val="bottom"/>
          </w:tcPr>
          <w:p>
            <w:pPr>
              <w:spacing w:after="0"/>
              <w:rPr>
                <w:sz w:val="17"/>
                <w:szCs w:val="17"/>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152,271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249,327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728,948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608,984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376,085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54,528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48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[Reserved]</w:t>
            </w: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40" w:type="dxa"/>
            <w:vAlign w:val="bottom"/>
            <w:vMerge w:val="continue"/>
          </w:tcPr>
          <w:p>
            <w:pPr>
              <w:spacing w:after="0"/>
              <w:rPr>
                <w:sz w:val="24"/>
                <w:szCs w:val="24"/>
                <w:color w:val="auto"/>
              </w:rPr>
            </w:pPr>
          </w:p>
        </w:tc>
        <w:tc>
          <w:tcPr>
            <w:tcW w:w="4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w:t>
            </w:r>
          </w:p>
        </w:tc>
        <w:tc>
          <w:tcPr>
            <w:tcW w:w="48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Capitalization and Indebtedness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40" w:type="dxa"/>
            <w:vAlign w:val="bottom"/>
          </w:tcPr>
          <w:p>
            <w:pPr>
              <w:spacing w:after="0"/>
              <w:rPr>
                <w:sz w:val="24"/>
                <w:szCs w:val="24"/>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 applicable.</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40" w:type="dxa"/>
            <w:vAlign w:val="bottom"/>
          </w:tcPr>
          <w:p>
            <w:pPr>
              <w:spacing w:after="0"/>
              <w:rPr>
                <w:sz w:val="24"/>
                <w:szCs w:val="24"/>
                <w:color w:val="auto"/>
              </w:rPr>
            </w:pPr>
          </w:p>
        </w:tc>
        <w:tc>
          <w:tcPr>
            <w:tcW w:w="48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320" w:top="447" w:right="10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1180" w:hanging="473"/>
        <w:spacing w:after="0"/>
        <w:tabs>
          <w:tab w:leader="none" w:pos="118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Reasons for the Offer and Use of Proceeds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Not applicable.</w:t>
      </w:r>
    </w:p>
    <w:p>
      <w:pPr>
        <w:spacing w:after="0" w:line="332" w:lineRule="exact"/>
        <w:rPr>
          <w:sz w:val="20"/>
          <w:szCs w:val="20"/>
          <w:color w:val="auto"/>
        </w:rPr>
      </w:pPr>
    </w:p>
    <w:p>
      <w:pPr>
        <w:ind w:left="700" w:right="8080" w:firstLine="7"/>
        <w:spacing w:after="0" w:line="378" w:lineRule="auto"/>
        <w:tabs>
          <w:tab w:leader="none" w:pos="1182"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Risk Factors Summary of Risk Factors</w:t>
      </w:r>
    </w:p>
    <w:p>
      <w:pPr>
        <w:spacing w:after="0" w:line="1" w:lineRule="exact"/>
        <w:rPr>
          <w:sz w:val="20"/>
          <w:szCs w:val="20"/>
          <w:color w:val="auto"/>
        </w:rPr>
      </w:pPr>
    </w:p>
    <w:p>
      <w:pPr>
        <w:ind w:left="700" w:right="240" w:firstLine="393"/>
        <w:spacing w:after="0" w:line="284" w:lineRule="auto"/>
        <w:rPr>
          <w:sz w:val="20"/>
          <w:szCs w:val="20"/>
          <w:color w:val="auto"/>
        </w:rPr>
      </w:pPr>
      <w:r>
        <w:rPr>
          <w:rFonts w:ascii="Times New Roman" w:cs="Times New Roman" w:eastAsia="Times New Roman" w:hAnsi="Times New Roman"/>
          <w:sz w:val="16"/>
          <w:szCs w:val="16"/>
          <w:color w:val="auto"/>
        </w:rPr>
        <w:t>An investment in our ADSs involves significant risks. Below is a summary of material risks we face, organized under relevant headings. These risks are discussed more fully in Item 3. Key Information—D. Risk Factors.</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Risks Relating to Our Business and Industry</w:t>
      </w:r>
    </w:p>
    <w:p>
      <w:pPr>
        <w:spacing w:after="0" w:line="1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Risks and uncertainties relating to our business and industry include, but are not limited to, the following:</w:t>
      </w:r>
    </w:p>
    <w:p>
      <w:pPr>
        <w:spacing w:after="0" w:line="117" w:lineRule="exact"/>
        <w:rPr>
          <w:sz w:val="20"/>
          <w:szCs w:val="20"/>
          <w:color w:val="auto"/>
        </w:rPr>
      </w:pPr>
    </w:p>
    <w:p>
      <w:pPr>
        <w:ind w:left="1580" w:hanging="391"/>
        <w:spacing w:after="0" w:line="284" w:lineRule="auto"/>
        <w:tabs>
          <w:tab w:leader="none" w:pos="1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the emerging, rapidly evolving and highly competitive online insurance product and service industry, which makes it difficult to predict our future prospects. Our historical operating and financial results may not be indicative of future performance (Page 23);</w:t>
      </w:r>
    </w:p>
    <w:p>
      <w:pPr>
        <w:spacing w:after="0" w:line="58" w:lineRule="exact"/>
        <w:rPr>
          <w:rFonts w:ascii="Times New Roman" w:cs="Times New Roman" w:eastAsia="Times New Roman" w:hAnsi="Times New Roman"/>
          <w:sz w:val="16"/>
          <w:szCs w:val="16"/>
          <w:color w:val="auto"/>
        </w:rPr>
      </w:pPr>
    </w:p>
    <w:p>
      <w:pPr>
        <w:ind w:left="1580" w:right="120" w:hanging="391"/>
        <w:spacing w:after="0" w:line="262" w:lineRule="auto"/>
        <w:tabs>
          <w:tab w:leader="none" w:pos="1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businesses are highly regulated, and the administration, interpretation and enforcement of the laws, regulations and regulatory requirements currently applicable to us are unclear, evolving and involve uncertainties. Non-compliance with applicable laws, regulations and regulatory requirements or failure to respond to legal and regulatory changes may materially and adversely affect our business and prospects (Pages 24 to 26);</w:t>
      </w:r>
    </w:p>
    <w:p>
      <w:pPr>
        <w:spacing w:after="0" w:line="76"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incurred operating losses and net losses in the past, and we may not be able to return and stay profitable in the future (Page 26);</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cooperation with user traffic channels is subject to changes in the regulatory requirements (Pages 26 to 27);</w:t>
      </w:r>
    </w:p>
    <w:p>
      <w:pPr>
        <w:spacing w:after="0" w:line="117" w:lineRule="exact"/>
        <w:rPr>
          <w:rFonts w:ascii="Times New Roman" w:cs="Times New Roman" w:eastAsia="Times New Roman" w:hAnsi="Times New Roman"/>
          <w:sz w:val="16"/>
          <w:szCs w:val="16"/>
          <w:color w:val="auto"/>
        </w:rPr>
      </w:pPr>
    </w:p>
    <w:p>
      <w:pPr>
        <w:ind w:left="1580" w:right="240" w:hanging="391"/>
        <w:spacing w:after="0" w:line="262" w:lineRule="auto"/>
        <w:tabs>
          <w:tab w:leader="none" w:pos="1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generates and processes a large amount of data, and is subject to complex and evolving Chinese and international laws and regulations regarding privacy, data protection and cybersecurity. Any failure to protect the confidential information of third parties or improper use or disclosure of such data may subject us to liabilities imposed by data privacy and protection laws and regulations, negatively impact our reputation, and deter our clients from using our online platform (Pages 27 to 30);</w:t>
      </w:r>
    </w:p>
    <w:p>
      <w:pPr>
        <w:spacing w:after="0" w:line="76"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obtain, renew, or retain licenses, permits or approvals may affect our ability to conduct or expand our business (Pages 30 to 31);</w:t>
      </w:r>
    </w:p>
    <w:p>
      <w:pPr>
        <w:spacing w:after="0" w:line="117" w:lineRule="exact"/>
        <w:rPr>
          <w:rFonts w:ascii="Times New Roman" w:cs="Times New Roman" w:eastAsia="Times New Roman" w:hAnsi="Times New Roman"/>
          <w:sz w:val="16"/>
          <w:szCs w:val="16"/>
          <w:color w:val="auto"/>
        </w:rPr>
      </w:pPr>
    </w:p>
    <w:p>
      <w:pPr>
        <w:ind w:left="1580" w:right="40" w:hanging="391"/>
        <w:spacing w:after="0" w:line="284" w:lineRule="auto"/>
        <w:tabs>
          <w:tab w:leader="none" w:pos="1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source, design and develop insurance products catering to the evolving needs of insurance clients, we may not be able to retain existing insurance clients or attract new insurance clients to our platform (Page 31); and</w:t>
      </w:r>
    </w:p>
    <w:p>
      <w:pPr>
        <w:spacing w:after="0" w:line="58" w:lineRule="exact"/>
        <w:rPr>
          <w:rFonts w:ascii="Times New Roman" w:cs="Times New Roman" w:eastAsia="Times New Roman" w:hAnsi="Times New Roman"/>
          <w:sz w:val="16"/>
          <w:szCs w:val="16"/>
          <w:color w:val="auto"/>
        </w:rPr>
      </w:pPr>
    </w:p>
    <w:p>
      <w:pPr>
        <w:ind w:left="1580" w:right="160" w:hanging="391"/>
        <w:spacing w:after="0" w:line="284" w:lineRule="auto"/>
        <w:tabs>
          <w:tab w:leader="none" w:pos="1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leverage our user traffic channels to attract new insurance clients to our platform and incur significant costs on paying our user traffic channels service fees (Page 31).</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Risks Relating to Our Corporate Structure</w:t>
      </w:r>
    </w:p>
    <w:p>
      <w:pPr>
        <w:spacing w:after="0" w:line="1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Risks and uncertainties relating to our corporate structure include, but are not limited to, the following:</w:t>
      </w:r>
    </w:p>
    <w:p>
      <w:pPr>
        <w:spacing w:after="0" w:line="117" w:lineRule="exact"/>
        <w:rPr>
          <w:sz w:val="20"/>
          <w:szCs w:val="20"/>
          <w:color w:val="auto"/>
        </w:rPr>
      </w:pPr>
    </w:p>
    <w:p>
      <w:pPr>
        <w:ind w:left="1580" w:hanging="391"/>
        <w:spacing w:after="0"/>
        <w:tabs>
          <w:tab w:leader="none" w:pos="1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Cayman Islands holding company with no equity ownership in the VIE and we conduct our operations in China primarily through</w:t>
      </w:r>
    </w:p>
    <w:p>
      <w:pPr>
        <w:spacing w:after="0" w:line="25" w:lineRule="exact"/>
        <w:rPr>
          <w:rFonts w:ascii="Times New Roman" w:cs="Times New Roman" w:eastAsia="Times New Roman" w:hAnsi="Times New Roman"/>
          <w:sz w:val="16"/>
          <w:szCs w:val="16"/>
          <w:color w:val="auto"/>
        </w:rPr>
      </w:pPr>
    </w:p>
    <w:p>
      <w:pPr>
        <w:ind w:left="1580" w:right="4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VIE with which we have maintained contractual arrangements, and (ii) the VIE’s subsidiaries in China. Investors in our ADSs thus are not purchasing equity interest in the VIE in China but instead are purchasing equity interest in a Cayman Islands holding company. If the PRC government finds that the agreements that establish the structure for operating certain of our operations in China do not comply with PRC regulations relating to insurance brokerage, insurance agent and the relevant industries, or if these regulations or the interpretation of existing regulations change in the future, we could be subject to severe penalties or be forced to relinquish our interests in those operations. Our holding company, our PRC subsidiary, the VIE, and investors of our company face uncertainty about potential future actions by the PRC government that could affect the enforceability of the contractual arrangements with the VIE and, consequently, significantly affect the financial performance of the VIE and our company as a whole (Pages 46 to 47);</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0540"/>
          </w:cols>
          <w:pgMar w:left="320" w:top="447" w:right="10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1580" w:hanging="391"/>
        <w:spacing w:after="0" w:line="284" w:lineRule="auto"/>
        <w:tabs>
          <w:tab w:leader="none" w:pos="1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contractual arrangements with the VIE, and its shareholders for our operations in China, which may not be as effective as equity ownership in providing operational control (Pages 47 to 48);</w:t>
      </w:r>
    </w:p>
    <w:p>
      <w:pPr>
        <w:spacing w:after="0" w:line="58" w:lineRule="exact"/>
        <w:rPr>
          <w:rFonts w:ascii="Times New Roman" w:cs="Times New Roman" w:eastAsia="Times New Roman" w:hAnsi="Times New Roman"/>
          <w:sz w:val="16"/>
          <w:szCs w:val="16"/>
          <w:color w:val="auto"/>
        </w:rPr>
      </w:pPr>
    </w:p>
    <w:p>
      <w:pPr>
        <w:ind w:left="1580" w:right="460" w:hanging="391"/>
        <w:spacing w:after="0" w:line="284" w:lineRule="auto"/>
        <w:tabs>
          <w:tab w:leader="none" w:pos="1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shareholders and directors of the VIE may have potential conflicts of interest with us, and if any such conflicts of interest are not resolved in our favor, our business may be materially and adversely affected (Page 48);</w:t>
      </w:r>
    </w:p>
    <w:p>
      <w:pPr>
        <w:spacing w:after="0" w:line="58" w:lineRule="exact"/>
        <w:rPr>
          <w:rFonts w:ascii="Times New Roman" w:cs="Times New Roman" w:eastAsia="Times New Roman" w:hAnsi="Times New Roman"/>
          <w:sz w:val="16"/>
          <w:szCs w:val="16"/>
          <w:color w:val="auto"/>
        </w:rPr>
      </w:pPr>
    </w:p>
    <w:p>
      <w:pPr>
        <w:ind w:left="1580" w:right="20" w:hanging="391"/>
        <w:spacing w:after="0" w:line="267" w:lineRule="auto"/>
        <w:tabs>
          <w:tab w:leader="none" w:pos="1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uncertainties exist with respect to the interpretation and implementation of the newly enacted PRC Foreign Investment Law and its Implementation Regulations and how they may impact the viability of our current corporate structure, corporate governance, business operations and financial results (Pages 48 to 49);</w:t>
      </w:r>
    </w:p>
    <w:p>
      <w:pPr>
        <w:spacing w:after="0" w:line="72"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Cayman Islands economic substance requirements may have an effect on our business and operations (Page 49);</w:t>
      </w:r>
    </w:p>
    <w:p>
      <w:pPr>
        <w:spacing w:after="0" w:line="117" w:lineRule="exact"/>
        <w:rPr>
          <w:rFonts w:ascii="Times New Roman" w:cs="Times New Roman" w:eastAsia="Times New Roman" w:hAnsi="Times New Roman"/>
          <w:sz w:val="16"/>
          <w:szCs w:val="16"/>
          <w:color w:val="auto"/>
        </w:rPr>
      </w:pPr>
    </w:p>
    <w:p>
      <w:pPr>
        <w:ind w:left="1580" w:right="20" w:hanging="391"/>
        <w:spacing w:after="0" w:line="284" w:lineRule="auto"/>
        <w:tabs>
          <w:tab w:leader="none" w:pos="1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enforce the equity pledge agreements between us and the shareholders of the VIE may be subject to limitations based on PRC laws and regulations (Pages 49 to 50);</w:t>
      </w:r>
    </w:p>
    <w:p>
      <w:pPr>
        <w:spacing w:after="0" w:line="58" w:lineRule="exact"/>
        <w:rPr>
          <w:rFonts w:ascii="Times New Roman" w:cs="Times New Roman" w:eastAsia="Times New Roman" w:hAnsi="Times New Roman"/>
          <w:sz w:val="16"/>
          <w:szCs w:val="16"/>
          <w:color w:val="auto"/>
        </w:rPr>
      </w:pPr>
    </w:p>
    <w:p>
      <w:pPr>
        <w:ind w:left="1580" w:right="20" w:hanging="391"/>
        <w:spacing w:after="0" w:line="284" w:lineRule="auto"/>
        <w:tabs>
          <w:tab w:leader="none" w:pos="1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VIE and its subsidiaries becomes the subject of a bankruptcy or liquidation proceeding, we may lose the ability to use and enjoy their assets, which could reduce the size of our operations and materially and adversely affect our business (Page 50);</w:t>
      </w:r>
    </w:p>
    <w:p>
      <w:pPr>
        <w:spacing w:after="0" w:line="58"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contractual arrangements with the VIE may result in adverse tax consequences to us (Page 50);</w:t>
      </w:r>
    </w:p>
    <w:p>
      <w:pPr>
        <w:spacing w:after="0" w:line="117" w:lineRule="exact"/>
        <w:rPr>
          <w:rFonts w:ascii="Times New Roman" w:cs="Times New Roman" w:eastAsia="Times New Roman" w:hAnsi="Times New Roman"/>
          <w:sz w:val="16"/>
          <w:szCs w:val="16"/>
          <w:color w:val="auto"/>
        </w:rPr>
      </w:pPr>
    </w:p>
    <w:p>
      <w:pPr>
        <w:ind w:left="1580" w:right="100" w:hanging="391"/>
        <w:spacing w:after="0" w:line="267" w:lineRule="auto"/>
        <w:tabs>
          <w:tab w:leader="none" w:pos="1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contractual arrangements we have entered into among our WFOE, the VIE and its shareholders may be subject to scrutiny by the PRC tax authorities and they may determine that we or the VIE and its subsidiaries owe additional taxes, which could substantially reduce our consolidated net profit and the value of your investment (Pages 50 to 51);</w:t>
      </w:r>
    </w:p>
    <w:p>
      <w:pPr>
        <w:spacing w:after="0" w:line="72" w:lineRule="exact"/>
        <w:rPr>
          <w:rFonts w:ascii="Times New Roman" w:cs="Times New Roman" w:eastAsia="Times New Roman" w:hAnsi="Times New Roman"/>
          <w:sz w:val="16"/>
          <w:szCs w:val="16"/>
          <w:color w:val="auto"/>
        </w:rPr>
      </w:pPr>
    </w:p>
    <w:p>
      <w:pPr>
        <w:ind w:left="1580" w:right="60" w:hanging="391"/>
        <w:spacing w:after="0" w:line="267" w:lineRule="auto"/>
        <w:tabs>
          <w:tab w:leader="none" w:pos="1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rely principally on dividends and other distributions on equity paid by our WFOE to fund any cash and financing requirements we may have, and any limitation on the ability of our WFOE to pay dividends to us could have a material adverse effect on our ability to conduct our business (Page 51); and</w:t>
      </w:r>
    </w:p>
    <w:p>
      <w:pPr>
        <w:spacing w:after="0" w:line="72" w:lineRule="exact"/>
        <w:rPr>
          <w:rFonts w:ascii="Times New Roman" w:cs="Times New Roman" w:eastAsia="Times New Roman" w:hAnsi="Times New Roman"/>
          <w:sz w:val="16"/>
          <w:szCs w:val="16"/>
          <w:color w:val="auto"/>
        </w:rPr>
      </w:pPr>
    </w:p>
    <w:p>
      <w:pPr>
        <w:ind w:left="1580" w:hanging="391"/>
        <w:spacing w:after="0" w:line="262" w:lineRule="auto"/>
        <w:tabs>
          <w:tab w:leader="none" w:pos="1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PRC regulation of loans to and direct investment in PRC entities by offshore holding companies and governmental control of conversion of foreign currencies into Renminbi may delay or prevent us from using the proceeds of our initial public offering to make loans to our WFOE and VIE or to make additional capital contributions to our PRC subsidiaries, which could materially and adversely affect our liquidity and our ability to fund and expand our business (Pages 51 to 52).</w:t>
      </w:r>
    </w:p>
    <w:p>
      <w:pPr>
        <w:spacing w:after="0" w:line="2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Risks Relating to Doing Business in China</w:t>
      </w:r>
    </w:p>
    <w:p>
      <w:pPr>
        <w:spacing w:after="0" w:line="1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We are also subject to risks and uncertainties relating to doing business in China in general, including, but are not limited to, the following:</w:t>
      </w:r>
    </w:p>
    <w:p>
      <w:pPr>
        <w:spacing w:after="0" w:line="117" w:lineRule="exact"/>
        <w:rPr>
          <w:sz w:val="20"/>
          <w:szCs w:val="20"/>
          <w:color w:val="auto"/>
        </w:rPr>
      </w:pPr>
    </w:p>
    <w:p>
      <w:pPr>
        <w:ind w:left="1580" w:right="220" w:hanging="391"/>
        <w:spacing w:after="0" w:line="267" w:lineRule="auto"/>
        <w:tabs>
          <w:tab w:leader="none" w:pos="1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(Pages 52 to 53);</w:t>
      </w:r>
    </w:p>
    <w:p>
      <w:pPr>
        <w:spacing w:after="0" w:line="72" w:lineRule="exact"/>
        <w:rPr>
          <w:rFonts w:ascii="Times New Roman" w:cs="Times New Roman" w:eastAsia="Times New Roman" w:hAnsi="Times New Roman"/>
          <w:sz w:val="16"/>
          <w:szCs w:val="16"/>
          <w:color w:val="auto"/>
        </w:rPr>
      </w:pPr>
    </w:p>
    <w:p>
      <w:pPr>
        <w:jc w:val="both"/>
        <w:ind w:left="1580" w:right="480" w:hanging="391"/>
        <w:spacing w:after="0" w:line="267" w:lineRule="auto"/>
        <w:tabs>
          <w:tab w:leader="none" w:pos="1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(Page 53);</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0540"/>
          </w:cols>
          <w:pgMar w:left="320" w:top="447" w:right="10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1580" w:hanging="391"/>
        <w:spacing w:after="0" w:line="267" w:lineRule="auto"/>
        <w:tabs>
          <w:tab w:leader="none" w:pos="1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and filing with the CSRC or other PRC government authorities may be required in connection with our offshore offerings under PRC law, and, if required, we cannot predict whether or for how long we will be able to obtain such approval or complete such filing (Pages 53 to 55);</w:t>
      </w:r>
    </w:p>
    <w:p>
      <w:pPr>
        <w:spacing w:after="0" w:line="72" w:lineRule="exact"/>
        <w:rPr>
          <w:rFonts w:ascii="Times New Roman" w:cs="Times New Roman" w:eastAsia="Times New Roman" w:hAnsi="Times New Roman"/>
          <w:sz w:val="16"/>
          <w:szCs w:val="16"/>
          <w:color w:val="auto"/>
        </w:rPr>
      </w:pPr>
    </w:p>
    <w:p>
      <w:pPr>
        <w:ind w:left="1580" w:right="300" w:hanging="391"/>
        <w:spacing w:after="0" w:line="284" w:lineRule="auto"/>
        <w:tabs>
          <w:tab w:leader="none" w:pos="1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PRC government’s significant oversight and discretion over our business operation could result in a material adverse change in our operations and the value of our ADSs (Pages 55 to 56);</w:t>
      </w:r>
    </w:p>
    <w:p>
      <w:pPr>
        <w:spacing w:after="0" w:line="58" w:lineRule="exact"/>
        <w:rPr>
          <w:rFonts w:ascii="Times New Roman" w:cs="Times New Roman" w:eastAsia="Times New Roman" w:hAnsi="Times New Roman"/>
          <w:sz w:val="16"/>
          <w:szCs w:val="16"/>
          <w:color w:val="auto"/>
        </w:rPr>
      </w:pPr>
    </w:p>
    <w:p>
      <w:pPr>
        <w:ind w:left="1580" w:right="560" w:hanging="391"/>
        <w:spacing w:after="0" w:line="284" w:lineRule="auto"/>
        <w:tabs>
          <w:tab w:leader="none" w:pos="1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China’s economic, political and social conditions, as well as laws and government policies, may materially and adversely affect our business, financial condition, results of operations and growth prospects (Page 56);</w:t>
      </w:r>
    </w:p>
    <w:p>
      <w:pPr>
        <w:spacing w:after="0" w:line="58" w:lineRule="exact"/>
        <w:rPr>
          <w:rFonts w:ascii="Times New Roman" w:cs="Times New Roman" w:eastAsia="Times New Roman" w:hAnsi="Times New Roman"/>
          <w:sz w:val="16"/>
          <w:szCs w:val="16"/>
          <w:color w:val="auto"/>
        </w:rPr>
      </w:pPr>
    </w:p>
    <w:p>
      <w:pPr>
        <w:ind w:left="1580" w:right="220" w:hanging="391"/>
        <w:spacing w:after="0" w:line="284" w:lineRule="auto"/>
        <w:tabs>
          <w:tab w:leader="none" w:pos="1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in the interpretation and enforcement of PRC laws and regulations could limit the legal protections available to you and us (Page 56);</w:t>
      </w:r>
    </w:p>
    <w:p>
      <w:pPr>
        <w:spacing w:after="0" w:line="58" w:lineRule="exact"/>
        <w:rPr>
          <w:rFonts w:ascii="Times New Roman" w:cs="Times New Roman" w:eastAsia="Times New Roman" w:hAnsi="Times New Roman"/>
          <w:sz w:val="16"/>
          <w:szCs w:val="16"/>
          <w:color w:val="auto"/>
        </w:rPr>
      </w:pPr>
    </w:p>
    <w:p>
      <w:pPr>
        <w:ind w:left="1580" w:right="220" w:hanging="391"/>
        <w:spacing w:after="0" w:line="267" w:lineRule="auto"/>
        <w:tabs>
          <w:tab w:leader="none" w:pos="1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adversely affected by the complexity, uncertainties and changes in PRC regulations of internet-related businesses and companies, and any lack of requisite approvals, licenses or permits applicable to our business may have a material adverse effect on our business and results of operations (Page 57);</w:t>
      </w:r>
    </w:p>
    <w:p>
      <w:pPr>
        <w:spacing w:after="0" w:line="72" w:lineRule="exact"/>
        <w:rPr>
          <w:rFonts w:ascii="Times New Roman" w:cs="Times New Roman" w:eastAsia="Times New Roman" w:hAnsi="Times New Roman"/>
          <w:sz w:val="16"/>
          <w:szCs w:val="16"/>
          <w:color w:val="auto"/>
        </w:rPr>
      </w:pPr>
    </w:p>
    <w:p>
      <w:pPr>
        <w:ind w:left="1580" w:right="200" w:hanging="391"/>
        <w:spacing w:after="0" w:line="284" w:lineRule="auto"/>
        <w:tabs>
          <w:tab w:leader="none" w:pos="1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uncertainties with respect to the enactment, interpretation and implementation of the Anti-Monopoly Guidelines for the Internet Platform Economy Sector (Page 57);</w:t>
      </w:r>
    </w:p>
    <w:p>
      <w:pPr>
        <w:spacing w:after="0" w:line="58" w:lineRule="exact"/>
        <w:rPr>
          <w:rFonts w:ascii="Times New Roman" w:cs="Times New Roman" w:eastAsia="Times New Roman" w:hAnsi="Times New Roman"/>
          <w:sz w:val="16"/>
          <w:szCs w:val="16"/>
          <w:color w:val="auto"/>
        </w:rPr>
      </w:pPr>
    </w:p>
    <w:p>
      <w:pPr>
        <w:jc w:val="both"/>
        <w:ind w:left="1580" w:right="80" w:hanging="391"/>
        <w:spacing w:after="0" w:line="267" w:lineRule="auto"/>
        <w:tabs>
          <w:tab w:leader="none" w:pos="1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 control of currency conversion and future fluctuation of Renminbi exchange rates could have a material adverse effect on our results of operations and financial condition, and may reduce the value of, and dividends payable on, our Shares in foreign currency terms (Pages 57 to 58);</w:t>
      </w:r>
    </w:p>
    <w:p>
      <w:pPr>
        <w:spacing w:after="0" w:line="72" w:lineRule="exact"/>
        <w:rPr>
          <w:rFonts w:ascii="Times New Roman" w:cs="Times New Roman" w:eastAsia="Times New Roman" w:hAnsi="Times New Roman"/>
          <w:sz w:val="16"/>
          <w:szCs w:val="16"/>
          <w:color w:val="auto"/>
        </w:rPr>
      </w:pPr>
    </w:p>
    <w:p>
      <w:pPr>
        <w:ind w:left="1580" w:hanging="391"/>
        <w:spacing w:after="0" w:line="284" w:lineRule="auto"/>
        <w:tabs>
          <w:tab w:leader="none" w:pos="1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experience difficulties in effecting service of legal process, enforcing foreign judgments or bringing actions in China against us or our directors and management named in the annual report based on foreign laws (Pages 58 to 59);</w:t>
      </w:r>
    </w:p>
    <w:p>
      <w:pPr>
        <w:spacing w:after="0" w:line="58" w:lineRule="exact"/>
        <w:rPr>
          <w:rFonts w:ascii="Times New Roman" w:cs="Times New Roman" w:eastAsia="Times New Roman" w:hAnsi="Times New Roman"/>
          <w:sz w:val="16"/>
          <w:szCs w:val="16"/>
          <w:color w:val="auto"/>
        </w:rPr>
      </w:pPr>
    </w:p>
    <w:p>
      <w:pPr>
        <w:ind w:left="1580" w:right="60" w:hanging="391"/>
        <w:spacing w:after="0" w:line="284" w:lineRule="auto"/>
        <w:tabs>
          <w:tab w:leader="none" w:pos="1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exchange rates could have a material adverse effect on our results of operations and the value of your investment (Pages 59 to 60);</w:t>
      </w:r>
    </w:p>
    <w:p>
      <w:pPr>
        <w:spacing w:after="0" w:line="58" w:lineRule="exact"/>
        <w:rPr>
          <w:rFonts w:ascii="Times New Roman" w:cs="Times New Roman" w:eastAsia="Times New Roman" w:hAnsi="Times New Roman"/>
          <w:sz w:val="16"/>
          <w:szCs w:val="16"/>
          <w:color w:val="auto"/>
        </w:rPr>
      </w:pPr>
    </w:p>
    <w:p>
      <w:pPr>
        <w:ind w:left="1580" w:right="180" w:hanging="391"/>
        <w:spacing w:after="0" w:line="267" w:lineRule="auto"/>
        <w:tabs>
          <w:tab w:leader="none" w:pos="1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PRC regulations relating to investments in offshore companies by PRC residents may subject our PRC-resident beneficial owners or our WFOE to liability or penalties, limit our ability to inject capital into our WFOE or limit our WFOE’s ability to increase their registered capital or distribute profits (Pages 60 to 61);</w:t>
      </w:r>
    </w:p>
    <w:p>
      <w:pPr>
        <w:spacing w:after="0" w:line="72" w:lineRule="exact"/>
        <w:rPr>
          <w:rFonts w:ascii="Times New Roman" w:cs="Times New Roman" w:eastAsia="Times New Roman" w:hAnsi="Times New Roman"/>
          <w:sz w:val="16"/>
          <w:szCs w:val="16"/>
          <w:color w:val="auto"/>
        </w:rPr>
      </w:pPr>
    </w:p>
    <w:p>
      <w:pPr>
        <w:ind w:left="1580" w:right="140" w:hanging="391"/>
        <w:spacing w:after="0" w:line="284" w:lineRule="auto"/>
        <w:tabs>
          <w:tab w:leader="none" w:pos="1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PRC regulations regarding the registration requirements for employee share ownership plans or share option plans may subject the PRC plan participants or us to fines and other legal or administrative sanctions (Page 61);</w:t>
      </w:r>
    </w:p>
    <w:p>
      <w:pPr>
        <w:spacing w:after="0" w:line="58" w:lineRule="exact"/>
        <w:rPr>
          <w:rFonts w:ascii="Times New Roman" w:cs="Times New Roman" w:eastAsia="Times New Roman" w:hAnsi="Times New Roman"/>
          <w:sz w:val="16"/>
          <w:szCs w:val="16"/>
          <w:color w:val="auto"/>
        </w:rPr>
      </w:pPr>
    </w:p>
    <w:p>
      <w:pPr>
        <w:ind w:left="1580" w:right="440" w:hanging="391"/>
        <w:spacing w:after="0" w:line="284" w:lineRule="auto"/>
        <w:tabs>
          <w:tab w:leader="none" w:pos="1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make adequate contributions to various employee benefit plans as required by PRC regulations may subject us to penalties (Page 61);</w:t>
      </w:r>
    </w:p>
    <w:p>
      <w:pPr>
        <w:spacing w:after="0" w:line="58"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inflation and increases in labor costs in China could negatively affect our profitability and growth (Pages 61 to 62);</w:t>
      </w:r>
    </w:p>
    <w:p>
      <w:pPr>
        <w:spacing w:after="0" w:line="117" w:lineRule="exact"/>
        <w:rPr>
          <w:rFonts w:ascii="Times New Roman" w:cs="Times New Roman" w:eastAsia="Times New Roman" w:hAnsi="Times New Roman"/>
          <w:sz w:val="16"/>
          <w:szCs w:val="16"/>
          <w:color w:val="auto"/>
        </w:rPr>
      </w:pPr>
    </w:p>
    <w:p>
      <w:pPr>
        <w:ind w:left="1580" w:right="60" w:hanging="391"/>
        <w:spacing w:after="0" w:line="284" w:lineRule="auto"/>
        <w:tabs>
          <w:tab w:leader="none" w:pos="1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by us or our third-party service providers to comply with applicable anti-money laundering laws and regulations could damage our reputation (Page 62);</w:t>
      </w:r>
    </w:p>
    <w:p>
      <w:pPr>
        <w:spacing w:after="0" w:line="58" w:lineRule="exact"/>
        <w:rPr>
          <w:rFonts w:ascii="Times New Roman" w:cs="Times New Roman" w:eastAsia="Times New Roman" w:hAnsi="Times New Roman"/>
          <w:sz w:val="16"/>
          <w:szCs w:val="16"/>
          <w:color w:val="auto"/>
        </w:rPr>
      </w:pPr>
    </w:p>
    <w:p>
      <w:pPr>
        <w:ind w:left="1580" w:right="100" w:hanging="391"/>
        <w:spacing w:after="0" w:line="284" w:lineRule="auto"/>
        <w:tabs>
          <w:tab w:leader="none" w:pos="1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China’s M&amp;A Rules and certain other PRC regulations establish complex procedures for some acquisitions of PRC companies by foreign investors, which could make it more difficult for us to pursue growth through acquisitions in China (Pages 62 to 63);</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0520"/>
          </w:cols>
          <w:pgMar w:left="320" w:top="447" w:right="10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1580" w:right="80" w:hanging="391"/>
        <w:spacing w:after="0" w:line="284" w:lineRule="auto"/>
        <w:tabs>
          <w:tab w:leader="none" w:pos="1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uncertainties with respect to indirect transfers of equity interests in PRC resident enterprises by their non-PRC holding companies (Pages 63 to 64);</w:t>
      </w:r>
    </w:p>
    <w:p>
      <w:pPr>
        <w:spacing w:after="0" w:line="58" w:lineRule="exact"/>
        <w:rPr>
          <w:rFonts w:ascii="Times New Roman" w:cs="Times New Roman" w:eastAsia="Times New Roman" w:hAnsi="Times New Roman"/>
          <w:sz w:val="16"/>
          <w:szCs w:val="16"/>
          <w:color w:val="auto"/>
        </w:rPr>
      </w:pPr>
    </w:p>
    <w:p>
      <w:pPr>
        <w:ind w:left="1580" w:right="360" w:hanging="391"/>
        <w:spacing w:after="0" w:line="284" w:lineRule="auto"/>
        <w:tabs>
          <w:tab w:leader="none" w:pos="1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dividends we receive from our WFOE may be subject to PRC tax under the PRC Enterprise Income Tax Law, which would have a material adverse effect on our financial condition and results of operations (Page 64);</w:t>
      </w:r>
    </w:p>
    <w:p>
      <w:pPr>
        <w:spacing w:after="0" w:line="58" w:lineRule="exact"/>
        <w:rPr>
          <w:rFonts w:ascii="Times New Roman" w:cs="Times New Roman" w:eastAsia="Times New Roman" w:hAnsi="Times New Roman"/>
          <w:sz w:val="16"/>
          <w:szCs w:val="16"/>
          <w:color w:val="auto"/>
        </w:rPr>
      </w:pPr>
    </w:p>
    <w:p>
      <w:pPr>
        <w:ind w:left="1580" w:right="700" w:hanging="391"/>
        <w:spacing w:after="0" w:line="284" w:lineRule="auto"/>
        <w:tabs>
          <w:tab w:leader="none" w:pos="1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classified as a PRC resident enterprise for PRC income tax purposes, such classification could result in unfavorable tax consequences to us and our non-PRC shareholders or ADS holders (Page 64); and</w:t>
      </w:r>
    </w:p>
    <w:p>
      <w:pPr>
        <w:spacing w:after="0" w:line="58" w:lineRule="exact"/>
        <w:rPr>
          <w:rFonts w:ascii="Times New Roman" w:cs="Times New Roman" w:eastAsia="Times New Roman" w:hAnsi="Times New Roman"/>
          <w:sz w:val="16"/>
          <w:szCs w:val="16"/>
          <w:color w:val="auto"/>
        </w:rPr>
      </w:pPr>
    </w:p>
    <w:p>
      <w:pPr>
        <w:ind w:left="1580" w:right="340" w:hanging="391"/>
        <w:spacing w:after="0" w:line="267" w:lineRule="auto"/>
        <w:tabs>
          <w:tab w:leader="none" w:pos="1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 (Pages 64 to 65).</w:t>
      </w: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Risks Relating to Our ADSs</w:t>
      </w:r>
    </w:p>
    <w:p>
      <w:pPr>
        <w:spacing w:after="0" w:line="1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In addition to the risks described above, we are subject to general risks relating to our ADSs, including but not limited to the following:</w:t>
      </w:r>
    </w:p>
    <w:p>
      <w:pPr>
        <w:spacing w:after="0" w:line="117" w:lineRule="exact"/>
        <w:rPr>
          <w:sz w:val="20"/>
          <w:szCs w:val="20"/>
          <w:color w:val="auto"/>
        </w:rPr>
      </w:pPr>
    </w:p>
    <w:p>
      <w:pPr>
        <w:ind w:left="1580" w:hanging="391"/>
        <w:spacing w:after="0"/>
        <w:tabs>
          <w:tab w:leader="none" w:pos="1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price of our ADSs has been and may continue to be volatile, which could result in substantial losses to investors (Page 65);</w:t>
      </w:r>
    </w:p>
    <w:p>
      <w:pPr>
        <w:spacing w:after="0" w:line="117" w:lineRule="exact"/>
        <w:rPr>
          <w:rFonts w:ascii="Times New Roman" w:cs="Times New Roman" w:eastAsia="Times New Roman" w:hAnsi="Times New Roman"/>
          <w:sz w:val="16"/>
          <w:szCs w:val="16"/>
          <w:color w:val="auto"/>
        </w:rPr>
      </w:pPr>
    </w:p>
    <w:p>
      <w:pPr>
        <w:ind w:left="1580" w:right="80" w:hanging="391"/>
        <w:spacing w:after="0" w:line="284" w:lineRule="auto"/>
        <w:tabs>
          <w:tab w:leader="none" w:pos="1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meet Nasdaq’s minimum bid price or other continued listing requirements, our ADSs could be subject to delisting, which may significantly reduce the liquidity of our ADSs and cause further declines to the market price of our ADSs (Page 66)</w:t>
      </w:r>
    </w:p>
    <w:p>
      <w:pPr>
        <w:spacing w:after="0" w:line="58" w:lineRule="exact"/>
        <w:rPr>
          <w:rFonts w:ascii="Times New Roman" w:cs="Times New Roman" w:eastAsia="Times New Roman" w:hAnsi="Times New Roman"/>
          <w:sz w:val="16"/>
          <w:szCs w:val="16"/>
          <w:color w:val="auto"/>
        </w:rPr>
      </w:pPr>
    </w:p>
    <w:p>
      <w:pPr>
        <w:jc w:val="both"/>
        <w:ind w:left="1580" w:right="460" w:hanging="391"/>
        <w:spacing w:after="0" w:line="284" w:lineRule="auto"/>
        <w:tabs>
          <w:tab w:leader="none" w:pos="1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securities or industry analysts do not publish or publish inaccurate or unfavorable research about our business, or if they adversely change their recommendations regarding our ADSs, the market price for our ADSs and trading volume could decline (Page 66); and</w:t>
      </w:r>
    </w:p>
    <w:p>
      <w:pPr>
        <w:spacing w:after="0" w:line="58"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techniques employed by short sellers may drive down the market price of our ADSs (Page 66).</w:t>
      </w:r>
    </w:p>
    <w:p>
      <w:pPr>
        <w:spacing w:after="0" w:line="2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Risks Relating to Our Business and Industry</w:t>
      </w:r>
    </w:p>
    <w:p>
      <w:pPr>
        <w:spacing w:after="0" w:line="103" w:lineRule="exact"/>
        <w:rPr>
          <w:sz w:val="20"/>
          <w:szCs w:val="20"/>
          <w:color w:val="auto"/>
        </w:rPr>
      </w:pPr>
    </w:p>
    <w:p>
      <w:pPr>
        <w:ind w:left="700" w:right="4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operate in the emerging, rapidly evolving and highly competitive online insurance product and service industry, which makes it difficult to predict our future prospects. Our historical operating and financial results may not be indicative of future performance.</w:t>
      </w:r>
    </w:p>
    <w:p>
      <w:pPr>
        <w:spacing w:after="0" w:line="43"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We operate in China’s online insurance product and service industry, which is rapidly evolving and may not develop as we anticipate. This industry is relatively new, and business models continue to evolve. The regulatory framework governing the insurance industry is also developing and may remain uncertain in the near future. As our business develops and in response to the evolving client needs and market competition, we will continue to introduce new insurance products and services, improve our existing products and services, or adjust and optimize our business model. In response to new regulatory requirements or industry standards, or in connection with the introduction of new products, we may impose more rigorous risk management system and/or policies, which may negatively affect the growth of our business. Any significant change to our business model may not achieve expected results and may have a material and adverse impact on our financial condition and results of operations. It is therefore difficult to effectively predict our future prospects.</w:t>
      </w:r>
    </w:p>
    <w:p>
      <w:pPr>
        <w:spacing w:after="0" w:line="165"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The risks and challenges we encounter or may encounter in this emerging, dynamic and competitive market may have impacts on our business and prospects. These risks and challenges include our ability to, among other things:</w:t>
      </w:r>
    </w:p>
    <w:p>
      <w:pPr>
        <w:spacing w:after="0" w:line="59" w:lineRule="exact"/>
        <w:rPr>
          <w:sz w:val="20"/>
          <w:szCs w:val="20"/>
          <w:color w:val="auto"/>
        </w:rPr>
      </w:pPr>
    </w:p>
    <w:p>
      <w:pPr>
        <w:ind w:left="1580" w:hanging="391"/>
        <w:spacing w:after="0"/>
        <w:tabs>
          <w:tab w:leader="none" w:pos="1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navigate in an evolving and complex regulatory environment;</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grow our insurance client base in a cost-efficient manner;</w:t>
      </w:r>
    </w:p>
    <w:p>
      <w:pPr>
        <w:spacing w:after="0" w:line="1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0540"/>
          </w:cols>
          <w:pgMar w:left="320" w:top="447" w:right="10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1580" w:hanging="391"/>
        <w:spacing w:after="0"/>
        <w:tabs>
          <w:tab w:leader="none" w:pos="1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and launch diversified and distinguishable products to effectively address the evolving needs of our insurance clients;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and maintain relationships with our existing business partners and attract new business partners;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enhance and maintain the recognition of our brand;</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enhance our risk management capabilities;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 reliable, secure, high-performance and scalable technology infrastructure;</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retain and motivate talented employees; and</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 and adapt to changing market conditions, including technological developments and changes in the competitive landscape.</w:t>
      </w:r>
    </w:p>
    <w:p>
      <w:pPr>
        <w:spacing w:after="0" w:line="202" w:lineRule="exact"/>
        <w:rPr>
          <w:sz w:val="20"/>
          <w:szCs w:val="20"/>
          <w:color w:val="auto"/>
        </w:rPr>
      </w:pPr>
    </w:p>
    <w:p>
      <w:pPr>
        <w:ind w:left="700" w:firstLine="393"/>
        <w:spacing w:after="0" w:line="267" w:lineRule="auto"/>
        <w:rPr>
          <w:sz w:val="20"/>
          <w:szCs w:val="20"/>
          <w:color w:val="auto"/>
        </w:rPr>
      </w:pPr>
      <w:r>
        <w:rPr>
          <w:rFonts w:ascii="Times New Roman" w:cs="Times New Roman" w:eastAsia="Times New Roman" w:hAnsi="Times New Roman"/>
          <w:sz w:val="16"/>
          <w:szCs w:val="16"/>
          <w:color w:val="auto"/>
        </w:rPr>
        <w:t>If we fail to educate business partners and clients about the value of our platform and services, if the market for our products and services does not develop as we expect, if we fail to address the needs of our target clients, or if we are not able to effectively tackle other risks and challenges that we may encounter, our business and results of operations may be harmed.</w:t>
      </w:r>
    </w:p>
    <w:p>
      <w:pPr>
        <w:spacing w:after="0" w:line="250" w:lineRule="exact"/>
        <w:rPr>
          <w:sz w:val="20"/>
          <w:szCs w:val="20"/>
          <w:color w:val="auto"/>
        </w:rPr>
      </w:pPr>
    </w:p>
    <w:p>
      <w:pPr>
        <w:ind w:left="700" w:right="18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businesses are highly regulated, and the administration, interpretation and enforcement of the laws, regulations and regulatory requirements currently applicable to us are unclear, evolving and involve uncertainties. Non-compliance with applicable laws, regulations and regulatory requirements or failure to respond to legal and regulatory changes may materially and adversely affect our business and prospects.</w:t>
      </w:r>
    </w:p>
    <w:p>
      <w:pPr>
        <w:spacing w:after="0" w:line="58" w:lineRule="exact"/>
        <w:rPr>
          <w:sz w:val="20"/>
          <w:szCs w:val="20"/>
          <w:color w:val="auto"/>
        </w:rPr>
      </w:pPr>
    </w:p>
    <w:p>
      <w:pPr>
        <w:ind w:left="700" w:right="80" w:firstLine="393"/>
        <w:spacing w:after="0" w:line="258" w:lineRule="auto"/>
        <w:rPr>
          <w:sz w:val="20"/>
          <w:szCs w:val="20"/>
          <w:color w:val="auto"/>
        </w:rPr>
      </w:pPr>
      <w:r>
        <w:rPr>
          <w:rFonts w:ascii="Times New Roman" w:cs="Times New Roman" w:eastAsia="Times New Roman" w:hAnsi="Times New Roman"/>
          <w:sz w:val="16"/>
          <w:szCs w:val="16"/>
          <w:color w:val="auto"/>
        </w:rPr>
        <w:t>We operate in a highly regulated industry in China, and the regulatory regime continues to evolve. The China Banking and Insurance Regulatory Commission, or the CBIRC, has extensive authority to supervise and regulate the insurance industry in China. Since the online insurance product and service industry in China has emerged and keeps evolving rapidly, the CBIRC has been enhancing its supervision over this industry in recent years, and new laws, regulations and regulatory requirements have been promulgated and implemented from time to time. We face challenges brought by these new laws, regulations and regulatory requirements, as well as significant uncertainties in the interpretation and application thereof. Moreover, there are uncertainties as to how the regulatory environment might change.</w:t>
      </w:r>
    </w:p>
    <w:p>
      <w:pPr>
        <w:spacing w:after="0" w:line="163"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China’s insurance regulatory regime is undergoing significant changes. For example, pursuant to the Plan for the Institution Reform of the State Council issued by the National People’s Congress on March 10, 2023, CBIRC will be incorporated into the National Financial Regulatory Administration, or the NFRA, and the daily regulatory responsibilities of the People’s Bank of China for financial holding companies and other financial groups, as well as the responsibilities for consumer protection in the financial sector, and the investor protection responsibilities of the CSRC are also transferred to NFRA. The CBIRC will no longer be retained. Further development of regulations applicable to us may result in additional restrictions on our business operations or more intensive competition in this industry. We might be required to spend significant time and resources in order to comply with any material changes in the regulatory environment, which could trigger significant changes to the competitive landscape of our industry and we may lose some or all of our competitive advantages during this process. We may change the insurance product mix we offer online or offline in response to the changing market demands following any change of regulatory requirements. We may add to our product mix insurance products offered online or offline that we have little experience with, or reduce or cease the offering of insurance products that used to be popular, either of which may adversely affect our results of operations. Our practice to further expand into the offline insurance intermediary market would also subject us to applicable laws and regulations with respect to offline insurance intermediary business, and we cannot assure you that we could fully comply with applicable laws and regulations or fully satisfy the relevant regulatory requirements, failure of which will subject us to regulatory reviews and inspections or even legal liabilities, which could negatively affect our business and results of operations.</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0520"/>
          </w:cols>
          <w:pgMar w:left="320" w:top="447" w:right="10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52" w:lineRule="auto"/>
        <w:rPr>
          <w:sz w:val="20"/>
          <w:szCs w:val="20"/>
          <w:color w:val="auto"/>
        </w:rPr>
      </w:pPr>
      <w:r>
        <w:rPr>
          <w:rFonts w:ascii="Times New Roman" w:cs="Times New Roman" w:eastAsia="Times New Roman" w:hAnsi="Times New Roman"/>
          <w:sz w:val="16"/>
          <w:szCs w:val="16"/>
          <w:color w:val="auto"/>
        </w:rPr>
        <w:t>In November 2020, the Circular on Matters concerning the Use of the Illness Definitions for Critical Illness Insurance and the Definition of Illness under Critical Illness Insurance was promulgated, reclassifying the definition of illness under critical illness insurance and expanding the scope of certain diseases. Given that the reclassification is deemed to be less favorable for insurance clients, in order to keep our long-term critical illness insurance products competitive, we may need to invest in developing more attractive products to retain our existing insurance clients and expand our insurance client base. Additionally, on October 12, 2021, the CBIRC issued the Notice on Further Regulating Matters Concerning Internet Personal Insurance Business, which became effective on the same day. The notice aims to further regulate the operation of internet personal insurance business of insurance institutions and require the internet personal insurance products to be dedicatedly managed by insurance companies. Pursuant to the notice, internet personal insurance products include accident insurance, health insurance (except nursing insurance), term life insurance, ordinary life insurance with a policy period of more than ten years (except term life insurance) and ordinary annuity insurance with a policy period of more than ten years, and other personal insurance products stipulated by the CBIRC. Internet personal insurance products that do not meet the requirements thereof are prohibited from being offered online, and public display of, or direction to, hyperlinks to the webpages of placing orders on the internet of such internet personal insurance products are prohibited as well. The notice puts forward higher standards for insurance institutions to carry out internet personal insurance business in terms of technical capabilities, online operation capabilities and service capabilities. Moreover, it introduces classification requirements regarding different forms of internet personal insurance business that the insurance institutions can carry out based on different types of insurance product. Insurance intermediaries also need to satisfy the corresponding basic requirements. The notice also provides that customer service personnel of insurance intermediaries are not allowed to actively conduct marketing activities with regard to internet personal insurance products, and their compensation shall not be linked to the sales results of internet personal insurance products. Subsequent to its effective date, the offering of internet insurance products and the commission fee rate would be subject to uncertainties, which may have adversely affected on our business, results of operations and financial conditions. The attention of our management team could be diverted to the efforts to cope with an evolving regulatory or competitive environment. Meanwhile, staying compliant with the restrictions may result in limitation to our business scope, limitation to our product and service offerings, and reduction in our attraction to clients. We have made adjustments to our business operations to comply with the notice. However, we cannot assure you that our current and future business operations will fully satisfy regulatory requirements applicable to us, or that we will not be subject to any future regulatory reviews and inspections where other non-compliance incidents might be identified. If we fail to do so, our business, financial condition, results of operations and prospects will be materially and adversely affected.</w:t>
      </w:r>
    </w:p>
    <w:p>
      <w:pPr>
        <w:spacing w:after="0" w:line="184" w:lineRule="exact"/>
        <w:rPr>
          <w:sz w:val="20"/>
          <w:szCs w:val="20"/>
          <w:color w:val="auto"/>
        </w:rPr>
      </w:pPr>
    </w:p>
    <w:p>
      <w:pPr>
        <w:ind w:left="700" w:right="60" w:firstLine="393"/>
        <w:spacing w:after="0" w:line="254" w:lineRule="auto"/>
        <w:rPr>
          <w:sz w:val="20"/>
          <w:szCs w:val="20"/>
          <w:color w:val="auto"/>
        </w:rPr>
      </w:pPr>
      <w:r>
        <w:rPr>
          <w:rFonts w:ascii="Times New Roman" w:cs="Times New Roman" w:eastAsia="Times New Roman" w:hAnsi="Times New Roman"/>
          <w:sz w:val="16"/>
          <w:szCs w:val="16"/>
          <w:color w:val="auto"/>
        </w:rPr>
        <w:t>In addition, there are uncertainties regard to how the changing laws, regulations and regulatory requirements would apply to our business. The CBIRC and its local counterparts have wide discretion in administration, interpretation and enforcement of these laws, regulations and regulatory requirements, as well as the authority to impose regulatory sanctions on industry participants. In certain circumstances it may be difficult to determine which actions or omissions may be deemed to be in violation of applicable laws, regulations or regulatory requirements. For example, as part of our marketing efforts, we have in the past offered potential insurance clients small amounts of cash rewards to encourage their engagement with our platform before they purchased insurance products. Such amounts were deductible from the premiums payable should such potential clients subsequently purchase insurance products on our platform. It is unclear whether such arrangement might be deemed as additional benefits offered to insurance clients other than those benefits stipulated in the insurance contracts, which is prohibited under relevant PRC laws and regulations. As of the date of this annual report, we no longer offer these cash rewards, but there is no guarantee that our practice in the past and our other marketing activities would not subject us to administrative measures with retrospective effect to be taken by regulatory authorities. Furthermore, misconduct of our insurer partners, user traffic channels or other business partners in violation of any of these laws, regulations or regulatory requirements might subject us to fines, civil or criminal liabilities, being required to modify or terminate part or all of our business operations or even being disqualified from providing services to our insurer partners or insurance clients. The occurrence of any of the above could have a material adverse effect on our business, results of operations, financial condition and prospects.</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0540"/>
          </w:cols>
          <w:pgMar w:left="320" w:top="447" w:right="10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53" w:lineRule="auto"/>
        <w:rPr>
          <w:sz w:val="20"/>
          <w:szCs w:val="20"/>
          <w:color w:val="auto"/>
        </w:rPr>
      </w:pPr>
      <w:r>
        <w:rPr>
          <w:rFonts w:ascii="Times New Roman" w:cs="Times New Roman" w:eastAsia="Times New Roman" w:hAnsi="Times New Roman"/>
          <w:sz w:val="16"/>
          <w:szCs w:val="16"/>
          <w:color w:val="auto"/>
        </w:rPr>
        <w:t>Moreover, Chinese regulatory authorities may conduct various reviews and inspections on our business operations from time to time, which could cover a broad range of aspects, including financial reporting, tax reporting, internal control and compliance with applicable laws, rules and regulations. If any non-compliance incidents in our business operation are identified, we may be required to take certain rectification measures in accordance with applicable laws and regulations, or we may be subject to other regulatory actions such as administrative penalties. For example, the CBIRC and its local counterparts have conducted several inspections, reviews and inquiries on us and identified certain non-compliance incidents in our business operation, risk management and internal control, including incidents with respect to settlement of insurance premiums through and our cooperation with user traffic channels that do not meet regulatory requirements. In particular, (i) we have in the past misused funds in the insurance premium accounts; and (ii) some of our business partners, including certain travel agencies and user traffic channels lacking relevant licenses or approvals, have in the past collected a small portion of insurance premiums on our behalf. According to relevant PRC laws, insurance brokerage companies like us are required to set up separate accounts to receive and hold the insurance premiums they receive from insurance clients on behalf of insurance companies and are prohibited from using or misusing such funds. Failure to comply with such regulatory requirements may subject us to making rectifications, warnings, fines, or further, revocation of our License for Operating Insurance Brokerage Services, or the Insurance Brokerage License, in the case where regulatory authorities consider such action as a material violation. In addition, entities that do not hold licenses required by PRC regulatory authorities are not allowed to collect insurance premiums on behalf of us under relevant PRC laws and regulations. We have taken remedial measures to rectify the aforementioned non-compliance incidents. As of the date of this annual report, we have returned all of the insurance premiums that we had misused in the past, and we have terminated cooperation with entities that do not hold the relevant licenses required for collecting insurance premiums on our behalf. We plan to adopt a more rigorous internal control system to manage our cooperation with unlicensed business partners with regard to the collection of insurance premiums on our behalf.</w:t>
      </w:r>
    </w:p>
    <w:p>
      <w:pPr>
        <w:spacing w:after="0" w:line="172" w:lineRule="exact"/>
        <w:rPr>
          <w:sz w:val="20"/>
          <w:szCs w:val="20"/>
          <w:color w:val="auto"/>
        </w:rPr>
      </w:pPr>
    </w:p>
    <w:p>
      <w:pPr>
        <w:ind w:left="700" w:right="340" w:firstLine="393"/>
        <w:spacing w:after="0" w:line="262" w:lineRule="auto"/>
        <w:rPr>
          <w:sz w:val="20"/>
          <w:szCs w:val="20"/>
          <w:color w:val="auto"/>
        </w:rPr>
      </w:pPr>
      <w:r>
        <w:rPr>
          <w:rFonts w:ascii="Times New Roman" w:cs="Times New Roman" w:eastAsia="Times New Roman" w:hAnsi="Times New Roman"/>
          <w:sz w:val="16"/>
          <w:szCs w:val="16"/>
          <w:color w:val="auto"/>
        </w:rPr>
        <w:t>We are in the process of rectifying all non-compliance incidents that we are aware of under the unclear and changing regulatory environment. However, we cannot assure you that we will be able to fully rectify all non-compliance incidents in a timely manner or fully satisfy the regulatory requirements, or we will not be subject to any future regulatory reviews and inspections where other non-compliance incidents might be identified, which might materially and adversely affect our business, financial condition, results of operations and prospects.</w:t>
      </w:r>
    </w:p>
    <w:p>
      <w:pPr>
        <w:spacing w:after="0" w:line="2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We incurred operating losses and net losses in the past, and we may not be able to return and stay profitable in the future.</w:t>
      </w:r>
    </w:p>
    <w:p>
      <w:pPr>
        <w:spacing w:after="0" w:line="109" w:lineRule="exact"/>
        <w:rPr>
          <w:sz w:val="20"/>
          <w:szCs w:val="20"/>
          <w:color w:val="auto"/>
        </w:rPr>
      </w:pPr>
    </w:p>
    <w:p>
      <w:pPr>
        <w:ind w:left="700" w:right="40" w:firstLine="393"/>
        <w:spacing w:after="0" w:line="254" w:lineRule="auto"/>
        <w:rPr>
          <w:sz w:val="20"/>
          <w:szCs w:val="20"/>
          <w:color w:val="auto"/>
        </w:rPr>
      </w:pPr>
      <w:r>
        <w:rPr>
          <w:rFonts w:ascii="Times New Roman" w:cs="Times New Roman" w:eastAsia="Times New Roman" w:hAnsi="Times New Roman"/>
          <w:sz w:val="16"/>
          <w:szCs w:val="16"/>
          <w:color w:val="auto"/>
        </w:rPr>
        <w:t>For the years ended December 31, 2020, 2021 and 2022, we had net loss of RMB18.3 million, RMB107.7 million and RMB33.7 million (US$4.9 million), respectively, and had operating loss of RMB25.9 million, RMB114.4 million and RMB43.7 million (US$6.3 million), respectively. We cannot assure you that we will return and remain profitable in the future. Our operating costs and expenses may increase in the foreseeable future as we continue to grow our business, acquire new clients and further develop our insurance product and service offering and increase brand recognition. These efforts may prove more costly than we currently anticipate, and we may not succeed in increasing our revenue sufficiently to offset these higher expenses. There are other factors that could negatively affect our financial condition. For example, if we fail to compete successfully with our existing or potential competitors, or if our tailor-made insurance products are not accepted by the market as we expect, we will receive lower-than-expected insurance brokerage income, and our financial results will be adversely affected. If regulatory authorities promulgate new laws, regulations and regulatory requirements that limit our business operations, especially with regard to our fee or cost model, our results of operations will suffer. As a result of the foregoing and other factors, our net profit margins may decline or we may incur net losses again in the future and may not be able to maintain profitability on a quarterly or annual basis.</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0540"/>
          </w:cols>
          <w:pgMar w:left="320" w:top="447" w:right="10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Our cooperation with user traffic channels is subject to changes in the regulatory requirements.</w:t>
      </w:r>
    </w:p>
    <w:p>
      <w:pPr>
        <w:spacing w:after="0" w:line="109" w:lineRule="exact"/>
        <w:rPr>
          <w:sz w:val="20"/>
          <w:szCs w:val="20"/>
          <w:color w:val="auto"/>
        </w:rPr>
      </w:pPr>
    </w:p>
    <w:p>
      <w:pPr>
        <w:ind w:left="700" w:right="100" w:firstLine="393"/>
        <w:spacing w:after="0" w:line="253" w:lineRule="auto"/>
        <w:rPr>
          <w:sz w:val="20"/>
          <w:szCs w:val="20"/>
          <w:color w:val="auto"/>
        </w:rPr>
      </w:pPr>
      <w:r>
        <w:rPr>
          <w:rFonts w:ascii="Times New Roman" w:cs="Times New Roman" w:eastAsia="Times New Roman" w:hAnsi="Times New Roman"/>
          <w:sz w:val="16"/>
          <w:szCs w:val="16"/>
          <w:color w:val="auto"/>
        </w:rPr>
        <w:t>We leverage our user traffic channels to convert their user traffic to our insurance clients. On December 7, 2020, the CBIRC published the Regulatory Measures for Online Insurance Business, or the Online Insurance Measures, which became effective on February 1, 2021, and replaced the Interim Regulatory Measures for Online Insurance Business, promulgated by the predecessor of CBIRC on July 22, 2015. The Online Insurance Measures changed regulatory requirements for online insurance business in various aspects. For example, it sets a higher standard for insurance institutions and online industry participants to improve IT infrastructure and cybersecurity protection. In particular, insurance institutions engaged in online insurance business shall have IT systems that are equipped with the insurance sales or insurance application function, and are certified as Safety Level III Computer Information Systems. The Online Insurance Measures requires online insurance transactions being conducted through online surfaces operated by insurance institutions only. Under the Online Insurance Measures, our user traffic channels or other business partners who are neither insurance companies nor insurance intermediaries are forbidden to conduct online insurance business, including but not limited to: (i) providing insurance product consulting services; (ii) comparing insurance products, conducting trial calculation of premium or quotation comparison;</w:t>
      </w:r>
    </w:p>
    <w:p>
      <w:pPr>
        <w:spacing w:after="0" w:line="5" w:lineRule="exact"/>
        <w:rPr>
          <w:sz w:val="20"/>
          <w:szCs w:val="20"/>
          <w:color w:val="auto"/>
        </w:rPr>
      </w:pPr>
    </w:p>
    <w:p>
      <w:pPr>
        <w:ind w:left="980" w:hanging="273"/>
        <w:spacing w:after="0"/>
        <w:tabs>
          <w:tab w:leader="none" w:pos="9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designing insurance application plans for policyholders; (iv) going through insurance application procedures; and (v) collecting premiums.</w:t>
      </w:r>
    </w:p>
    <w:p>
      <w:pPr>
        <w:spacing w:after="0" w:line="8" w:lineRule="exact"/>
        <w:rPr>
          <w:rFonts w:ascii="Times New Roman" w:cs="Times New Roman" w:eastAsia="Times New Roman" w:hAnsi="Times New Roman"/>
          <w:sz w:val="16"/>
          <w:szCs w:val="16"/>
          <w:color w:val="auto"/>
        </w:rPr>
      </w:pPr>
    </w:p>
    <w:p>
      <w:pPr>
        <w:ind w:left="700" w:right="60"/>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Furthermore, insurance institutions shall not, in internet insurance sales or brokerage activities, pay commission fee or remuneration directly or in a disguised way to any person who has not carried out practice registration with it. Pursuant to the Online Insurance Measures, insurance institutions shall</w:t>
      </w:r>
    </w:p>
    <w:p>
      <w:pPr>
        <w:ind w:left="700" w:right="20" w:firstLine="7"/>
        <w:spacing w:after="0" w:line="252" w:lineRule="auto"/>
        <w:tabs>
          <w:tab w:leader="none" w:pos="89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corresponding rectifications regarding system development, marketing and publicity, sales management and information disclosure by May 2021, (ii) complete the rectification of other problems such as business and operation by August 2021, and (iii) complete the certification of the cybersecurity graded protection for their self-running network platform by February 2022. Our system was certified as Safety Level III Computer Information System on January 15, 2020. We have made rectifications in accordance with the Online Insurance Measures, including changing our cooperative business model and terminating our cooperation with some user traffic channels that do not meet regulatory requirements. However, we cannot assure you that our business operation after the rectification fully complies with regulatory requirements. In addition, some of our user traffic channels have been conducting online insurance business. We cannot guarantee that these user traffic channels that we work with have rectified their operations to fully comply with these regulatory requirements. Failure of us or our user traffic channels to comply with relevant regulatory requirements will subject us or the user traffic channels to warnings, fines, confiscation of illegal gains and revocation of licenses, which will materially and adversely affect our business, financial condition, results of operations and prospects.</w:t>
      </w:r>
    </w:p>
    <w:p>
      <w:pPr>
        <w:spacing w:after="0" w:line="173" w:lineRule="exact"/>
        <w:rPr>
          <w:sz w:val="20"/>
          <w:szCs w:val="20"/>
          <w:color w:val="auto"/>
        </w:rPr>
      </w:pPr>
    </w:p>
    <w:p>
      <w:pPr>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Furthermore, under our agreements with certain insurer partners, we are not allowed to distribute their insurance products through user traffic channels that fail to comply with relevant online insurance regulatory requirements. Therefore, we may breach the agreements with them if we distribute their insurance products through user traffic channels that fail to comply with relevant online insurance regulatory requirements, which might subject us to defaulting liabilities and adversely affect our financial condition.</w:t>
      </w:r>
    </w:p>
    <w:p>
      <w:pPr>
        <w:spacing w:after="0" w:line="253" w:lineRule="exact"/>
        <w:rPr>
          <w:sz w:val="20"/>
          <w:szCs w:val="20"/>
          <w:color w:val="auto"/>
        </w:rPr>
      </w:pPr>
    </w:p>
    <w:p>
      <w:pPr>
        <w:ind w:left="700" w:right="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business generates and processes a large amount of data, and is subject to complex and evolving Chinese and international laws and regulations regarding privacy, data protection and cybersecurity. Any failure to protect the confidential information of third parties or improper use or disclosure of such data may subject us to liabilities imposed by data privacy and protection laws and regulations, negatively impact our reputation, and deter our clients from using our online platform.</w:t>
      </w:r>
    </w:p>
    <w:p>
      <w:pPr>
        <w:spacing w:after="0" w:line="62" w:lineRule="exact"/>
        <w:rPr>
          <w:sz w:val="20"/>
          <w:szCs w:val="20"/>
          <w:color w:val="auto"/>
        </w:rPr>
      </w:pPr>
    </w:p>
    <w:p>
      <w:pPr>
        <w:ind w:left="700" w:right="80" w:firstLine="393"/>
        <w:spacing w:after="0" w:line="256" w:lineRule="auto"/>
        <w:rPr>
          <w:sz w:val="20"/>
          <w:szCs w:val="20"/>
          <w:color w:val="auto"/>
        </w:rPr>
      </w:pPr>
      <w:r>
        <w:rPr>
          <w:rFonts w:ascii="Times New Roman" w:cs="Times New Roman" w:eastAsia="Times New Roman" w:hAnsi="Times New Roman"/>
          <w:sz w:val="16"/>
          <w:szCs w:val="16"/>
          <w:color w:val="auto"/>
        </w:rPr>
        <w:t>Our platform stores and processes certain personal and other sensitive data provided by insurance clients, and we make certain personal information provided by clients or third-party data providers available to insurer partners with user consent. There are numerous laws regarding privacy and the storing, sharing, use, disclosure and protection of personally identifiable information and data. Specifically, personally identifiable and other confidential information is increasingly subject to legislation and regulations in PRC and numerous foreign jurisdictions. PRC government authorities have enacted a series of laws and regulations relating to the protection of privacy and personal information, under which internet service providers and other network operators are required to clearly indicate the purposes, methods and scope of any information collection and usage, to obtain appropriate user consent and to establish user information protection systems with appropriate remedial measures. However, this regulatory framework for privacy issues in China and worldwide is currently evolving and is likely to remain uncertain for the foreseeable future.</w:t>
      </w:r>
    </w:p>
    <w:p>
      <w:pPr>
        <w:spacing w:after="0" w:line="165" w:lineRule="exact"/>
        <w:rPr>
          <w:sz w:val="20"/>
          <w:szCs w:val="20"/>
          <w:color w:val="auto"/>
        </w:rPr>
      </w:pPr>
    </w:p>
    <w:p>
      <w:pPr>
        <w:ind w:left="700" w:firstLine="393"/>
        <w:spacing w:after="0" w:line="253" w:lineRule="auto"/>
        <w:rPr>
          <w:sz w:val="20"/>
          <w:szCs w:val="20"/>
          <w:color w:val="auto"/>
        </w:rPr>
      </w:pPr>
      <w:r>
        <w:rPr>
          <w:rFonts w:ascii="Times New Roman" w:cs="Times New Roman" w:eastAsia="Times New Roman" w:hAnsi="Times New Roman"/>
          <w:sz w:val="16"/>
          <w:szCs w:val="16"/>
          <w:color w:val="auto"/>
        </w:rPr>
        <w:t>In December 2012, the Standing Committee of the PRC National People’s Congress promulgated the Decision on Strengthening Network Information Protection, or the Network Information Protection Decision, to enhance the legal protection of information security and privacy on the internet. The Network Information Protection Decision also requires internet operators to take measures to ensure confidentiality of information of users. In July 2013, the MIIT promulgated the Provisions on Protection of Personal Information of Telecommunication and Internet Users to regulate the collection and use of users’ personal information in the provision of telecommunication service and internet information service in China. In August 2015, the Standing Committee of the National People’s Congress promulgated the Ninth Amendment to the Criminal Law, which became effective in November 2015 and amended the standards of crime of infringing citizens’ personal information and reinforced the criminal culpability of unlawful collection, transaction, and provision of personal information. It further provides that any ICP provider that fails to fulfill the obligations related to internet information security administration as required by applicable laws and refuses to rectify upon orders will be subject to criminal liability. In November 2016, the Standing Committee of the National People’s Congress promulgated the PRC Cyber Security Law, which requires, among others, that network operators take security measures to protect the network from unauthorized interference, damage and unauthorized access and prevent data from being divulged, stolen or tampered with. Network operators are also required to collect and use personal information in compliance with the principles of legitimacy, properness and necessity, and strictly within the scope of authorization by the subject of personal information unless otherwise prescribed by laws or regulations. Significant capital, managerial and human resources are required to comply with legal requirements, enhance information security and to address any issues caused by security failures. The Civil Code promulgated in 2020 also provides specific provisions regarding the protection of personal information.</w:t>
      </w:r>
    </w:p>
    <w:p>
      <w:pPr>
        <w:spacing w:after="0" w:line="1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0540"/>
          </w:cols>
          <w:pgMar w:left="320" w:top="447" w:right="10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52" w:lineRule="auto"/>
        <w:rPr>
          <w:sz w:val="20"/>
          <w:szCs w:val="20"/>
          <w:color w:val="auto"/>
        </w:rPr>
      </w:pPr>
      <w:r>
        <w:rPr>
          <w:rFonts w:ascii="Times New Roman" w:cs="Times New Roman" w:eastAsia="Times New Roman" w:hAnsi="Times New Roman"/>
          <w:sz w:val="16"/>
          <w:szCs w:val="16"/>
          <w:color w:val="auto"/>
        </w:rPr>
        <w:t>On June 10, 2021, the Standing Committee of the National People’s Congress promulgated the PRC Data Security Law, which took effect in September 2021. The Data Security Law, among others, provides for a security review procedure for the data activities that may affect national security. Furthermore, on December 28, 2021, the CAC and 12 other governmental authorities jointly published the Measures for Cybersecurity Review, or the Measures, which became effective on February 15, 2022. Pursuant to the Measures, the following operators shall apply with the Cybersecurity Review Office of CAC for a cybersecurity review: (i) internet platform operators holding over one million individuals’ personal information pursuing a foreign listing, (ii) operators of “critical information infrastructure” that intend to purchase internet products and services that will or may affect national security, and (iii) internet platform operators carrying out data processing activities which has affected or may affect national security. Furthermore, the Measures also provide that the relevant authorities may initiate a cybersecurity review at their discretion, if the relevant authorities consider that certain network products and services or data processing activities has affected or may affect national security. The Measures also elaborate the factors to be considered when assessing national security risks of the relevant activities, including, among others, risks of core data, important data or a large amount of personal information being stolen, leaked, destroyed, illegally used or exported, and risks of critical information infrastructure, core data, important data or a large amount of personal information data being affected, controlled and maliciously used by foreign governments after an overseas listing. On July 7, 2022, the CAC issued the Measures for the Security Assessment of Data Cross-border Transfer, which became effective on September 1, 2022. The Measures for the Security Assessment of Data Cross-border Transfer requires that any data processor providing important data collected and generated during operations within the territory of the PRC or personal information that should be subject to security assessment according to law to an overseas recipient shall conduct security assessment. The Measures for the Security Assessment of Data Cross-border Transfer provides certain circumstances, under any of which data processors shall, through the local cyberspace administration at the provincial level, apply to the national cyberspace administration for security assessment of data cross-border transfer. These circumstances include: (i) where a data processor transfers important data overseas; (ii) where a critical information infrastructure operator, or a data processor processing the personal information of more than one million individuals, who, in either case, transfers personal information overseas; (iii) where a data processor who has, since January 1 of the previous year cumulatively transferred overseas the personal information of more than 100,000 individuals, or the sensitive personal information of more than 10,000 individuals; or (iv) other circumstances under which security assessment of data cross-border transfer is required as prescribed by the national cyberspace administration. On July 30, 2021, the state council promulgated the Regulations on Protection of Critical Information Infrastructure, which became effective on September 1, 2021. Pursuant to the Regulations on Protection of Critical Information Infrastructure, critical information infrastructure shall mean any important network facilities or information systems of the important industry or field such as public communication and information service, energy, transportation, water conservation, finance, public services, e-government affairs and national defense science, which may endanger national security, people’s livelihood and public interest in case of damage, function loss or data leakage. In addition, relevant administration departments of each critical industry and sector, or Protection Departments, shall be responsible to formulate eligibility criteria and determine the critical information infrastructure operator in the respective industry or sector. The operators shall be informed about the final determination as to whether they are categorized as critical information infrastructure operators. As of the date of this annual report, no detailed rules or implementation has been issued by any authority and we have not been informed as a critical information infrastructure operator by any government authorities. Furthermore, the definition of “affects or may affect national security” has not been clarified by any PRC regulatory authorities, and the PRC government authorities may have wide discretion in the interpretation and enforcement of these laws. Due to the lack of further clarifications or detailed rules and regulations, there are still uncertainties as to how the aforementioned rules will be interpreted or implemented, and it is unclear as to whether and to what extent listed companies like us will be subject to these requirements. If we are subject to a cybersecurity review, or if the PRC regulatory agencies later promulgate new rules or interpretations that subject us to their approvals, we may be unable to obtain a waiver for such requirements, and we may face penalties for failure to obtain or delay in obtaining approvals. If we are required to comply with these requirements but fail to do so in a timely manner, or at all, our business operation, financial conditions and business prospect, as well as the trading price of our listed securities, may be adversely and materially affected.</w:t>
      </w:r>
    </w:p>
    <w:p>
      <w:pPr>
        <w:spacing w:after="0" w:line="1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0540"/>
          </w:cols>
          <w:pgMar w:left="320" w:top="447" w:right="10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120" w:firstLine="393"/>
        <w:spacing w:after="0" w:line="255" w:lineRule="auto"/>
        <w:rPr>
          <w:sz w:val="20"/>
          <w:szCs w:val="20"/>
          <w:color w:val="auto"/>
        </w:rPr>
      </w:pPr>
      <w:r>
        <w:rPr>
          <w:rFonts w:ascii="Times New Roman" w:cs="Times New Roman" w:eastAsia="Times New Roman" w:hAnsi="Times New Roman"/>
          <w:sz w:val="16"/>
          <w:szCs w:val="16"/>
          <w:color w:val="auto"/>
        </w:rPr>
        <w:t>On November 14, 2021, the CAC released the Regulations on the Network Data Security (Draft for Comments), or the Draft Regulations, and were open for public comments until December 13, 2021. The Draft Regulations provide that data processors refer to individuals or organizations that autonomously determine the purpose and the manner of processing data. In accordance with the Draft Regulations, data processors shall apply for a cybersecurity review for the following activities: (i) merger, reorganization or division of Internet platform operators that have acquired a large number of data resources related to national security, economic development or public interests to the extent that affects or may affect national security;</w:t>
      </w:r>
    </w:p>
    <w:p>
      <w:pPr>
        <w:spacing w:after="0" w:line="3" w:lineRule="exact"/>
        <w:rPr>
          <w:sz w:val="20"/>
          <w:szCs w:val="20"/>
          <w:color w:val="auto"/>
        </w:rPr>
      </w:pPr>
    </w:p>
    <w:p>
      <w:pPr>
        <w:ind w:left="700" w:firstLine="7"/>
        <w:spacing w:after="0" w:line="252" w:lineRule="auto"/>
        <w:tabs>
          <w:tab w:leader="none" w:pos="93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listing abroad of data processors which process over one million users’ personal information; (iii) the listing of data processors in Hong Kong which affects or may affect national security; or (iv) other data processing activities that affect or may affect national security. However, there have been no clarifications from the authorities as of the date of this annual report as to the standards for determining such activities that “affects or may affect national security.” See “Item 4. Information on the Company—B. Business Overview—Regulation.” As of the date of this annual report, the Draft Regulations were released for public comment only, and the provisions and the anticipated adoption or effective date may be subject to change with substantial uncertainty. The Measures and the Draft Regulations remain unclear on whether the relevant requirements will be applicable to companies that have been listed in the United States and Hong Kong, such as us. We cannot predict the impact of the Measures and the Draft Regulations, if any, at this stage, and we will closely monitor and assess any development in the rule-making process. If the Measures and the enacted versions of the Draft Regulations mandate clearance of cybersecurity review and other specific actions to be completed by China-based companies listed on a U.S. stock exchange and Hong Kong Exchanges, such as us, we may face uncertainties as to whether such clearance can be timely obtained, or at all. As of the date of this annual report, we have not been involved in any formal investigations on cybersecurity review made by the CAC on such basis. However, if we are not able to comply with the cybersecurity and network data security requirements in a timely manner, or at all, we may be subject to government enforcement actions and investigations, fines, penalties, suspension of our non-compliant operations, or removal of our app from the relevant application stores, among other sanctions, which could materially and adversely affect our business and results of operations. In addition to the cybersecurity review, the Draft Regulations requires that data processors processing “important data” or listed overseas shall conduct an annual data security assessment by itself or commission a data security service provider to do so, and submit the assessment report of the preceding year to the municipal cybersecurity department by the end of January each year. If a final version of the Draft Regulations is adopted, we may be subject to review when conducting data processing activities and annual data security assessment and may face challenges in addressing its requirements and make necessary changes to our internal policies and practices in data processing.</w:t>
      </w:r>
    </w:p>
    <w:p>
      <w:pPr>
        <w:spacing w:after="0" w:line="169" w:lineRule="exact"/>
        <w:rPr>
          <w:sz w:val="20"/>
          <w:szCs w:val="20"/>
          <w:color w:val="auto"/>
        </w:rPr>
      </w:pPr>
    </w:p>
    <w:p>
      <w:pPr>
        <w:ind w:left="700" w:right="120" w:firstLine="393"/>
        <w:spacing w:after="0" w:line="255" w:lineRule="auto"/>
        <w:rPr>
          <w:sz w:val="20"/>
          <w:szCs w:val="20"/>
          <w:color w:val="auto"/>
        </w:rPr>
      </w:pPr>
      <w:r>
        <w:rPr>
          <w:rFonts w:ascii="Times New Roman" w:cs="Times New Roman" w:eastAsia="Times New Roman" w:hAnsi="Times New Roman"/>
          <w:sz w:val="16"/>
          <w:szCs w:val="16"/>
          <w:color w:val="auto"/>
        </w:rPr>
        <w:t>On August 20, 2021, the Standing Committee of the National People’s Congress of China promulgated the Personal Information Protection Law, which integrates the scattered rules with respect to personal information rights and privacy protection and took effect on November 1, 2021. After obtaining consent from users, we collect user personal information that is necessary to provide the corresponding services. We do not use any sensitive personal information that is not related to the corresponding services in any manner that is not compliant with applicable laws and regulations. We update our privacy policies from time to time to meet the latest regulatory requirements of the CAC and other authorities and adopt technical measures to protect data and ensure cybersecurity. Nonetheless, the Personal Information Protection Law raises the protection requirements for processing personal information, and many specific requirements of the Personal Information Protection Law remain to be clarified by the CAC, other regulatory authorities, and courts in practice. We may be required to make further adjustments to our business practices to comply with the personal information protection laws and regulations. See “Item 4. Information on the Company—B. Business Overview—Regulation.”</w:t>
      </w:r>
    </w:p>
    <w:p>
      <w:pPr>
        <w:spacing w:after="0" w:line="169" w:lineRule="exact"/>
        <w:rPr>
          <w:sz w:val="20"/>
          <w:szCs w:val="20"/>
          <w:color w:val="auto"/>
        </w:rPr>
      </w:pPr>
    </w:p>
    <w:p>
      <w:pPr>
        <w:ind w:left="700" w:right="40" w:firstLine="393"/>
        <w:spacing w:after="0" w:line="255" w:lineRule="auto"/>
        <w:rPr>
          <w:sz w:val="20"/>
          <w:szCs w:val="20"/>
          <w:color w:val="auto"/>
        </w:rPr>
      </w:pPr>
      <w:r>
        <w:rPr>
          <w:rFonts w:ascii="Times New Roman" w:cs="Times New Roman" w:eastAsia="Times New Roman" w:hAnsi="Times New Roman"/>
          <w:sz w:val="16"/>
          <w:szCs w:val="16"/>
          <w:color w:val="auto"/>
        </w:rPr>
        <w:t xml:space="preserve">The PRC Cyber Security Law, the Data Security Law and Civil Code are relatively new and subject to interpretation by the regulators. Although we only gain access to user information that is necessary for, and relevant to, the services provided, the data we obtain and use may include information that is deemed as “personal information,” “network data” or “important data” under the PRC Cyber Security Law, the Civil Code and related data privacy and protection laws and regulations. As such, we have adopted a series of measures to ensure that we comply with relevant laws and regulations in the collection, use, disclosure, sharing, storage, and security of user information and other data. The Data Security Law also stipulates that the relevant authorities will formulate the catalogues for important data and strengthen the protection of important data, and state core data,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data having a bearing on national security, the lifelines of national economy, people’s key livelihood and major public interests, shall be subject to stricter management system. “Item 4. Information on the Company—B. Business Overview—Regulation.” The exact scopes of important data and state core data remain unclear and may be subject to further interpretation. If any data that we are in possession of constitutes important data or state core data, we may be required to adopt stricter measures for protection and management of such data.</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0540"/>
          </w:cols>
          <w:pgMar w:left="320" w:top="447" w:right="10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80" w:firstLine="393"/>
        <w:spacing w:after="0" w:line="258" w:lineRule="auto"/>
        <w:rPr>
          <w:sz w:val="20"/>
          <w:szCs w:val="20"/>
          <w:color w:val="auto"/>
        </w:rPr>
      </w:pPr>
      <w:r>
        <w:rPr>
          <w:rFonts w:ascii="Times New Roman" w:cs="Times New Roman" w:eastAsia="Times New Roman" w:hAnsi="Times New Roman"/>
          <w:sz w:val="16"/>
          <w:szCs w:val="16"/>
          <w:color w:val="auto"/>
        </w:rPr>
        <w:t>In addition, we may need to comply with increasingly complex and rigorous regulatory standards enacted to protect business and personal data in Hong Kong, the U.S., Europe and elsewhere. For example, the European Union adopted the General Data Protection Regulation, or the GDPR, which became effective on May 25, 2018. The GDPR imposes additional obligations on companies regarding the handling of personal data and provides certain individual privacy rights to persons whose data is stored. Compliance with existing, proposed and recently enacted laws (including implementation of the privacy and process enhancements called for under GDPR) and regulations can be costly; any failure to comply with these regulatory standards could subject us to legal and reputational risks.</w:t>
      </w:r>
    </w:p>
    <w:p>
      <w:pPr>
        <w:spacing w:after="0" w:line="163" w:lineRule="exact"/>
        <w:rPr>
          <w:sz w:val="20"/>
          <w:szCs w:val="20"/>
          <w:color w:val="auto"/>
        </w:rPr>
      </w:pPr>
    </w:p>
    <w:p>
      <w:pPr>
        <w:ind w:left="700" w:right="40" w:firstLine="393"/>
        <w:spacing w:after="0" w:line="259" w:lineRule="auto"/>
        <w:rPr>
          <w:sz w:val="20"/>
          <w:szCs w:val="20"/>
          <w:color w:val="auto"/>
        </w:rPr>
      </w:pPr>
      <w:r>
        <w:rPr>
          <w:rFonts w:ascii="Times New Roman" w:cs="Times New Roman" w:eastAsia="Times New Roman" w:hAnsi="Times New Roman"/>
          <w:sz w:val="16"/>
          <w:szCs w:val="16"/>
          <w:color w:val="auto"/>
        </w:rPr>
        <w:t>We generally comply with industry standards and are subject to the terms of our own privacy policies. Compliance with any additional laws could be expensive, and may place restrictions on the conduct of our business and the manner in which we interact with our customers. Any failure to comply with applicable regulations could also result in regulatory enforcement actions against us, and misuse of or failure to secure personal information could also result in violation of data privacy laws and regulations, proceedings against us by governmental authorities or other authorities, damage to our reputation and credibility and could have a negative impact on revenues and profits.</w:t>
      </w:r>
    </w:p>
    <w:p>
      <w:pPr>
        <w:spacing w:after="0" w:line="164"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Significant capital and other resources may be required to protect against information security breaches or to alleviate problems caused by such breaches or to comply with our privacy policies or privacy-related legal obligations. The resources required may increase over time as the methods used by hackers and others engaged in online criminal activities are increasingly sophisticated and constantly evolving.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we receive.</w:t>
      </w:r>
    </w:p>
    <w:p>
      <w:pPr>
        <w:spacing w:after="0" w:line="165" w:lineRule="exact"/>
        <w:rPr>
          <w:sz w:val="20"/>
          <w:szCs w:val="20"/>
          <w:color w:val="auto"/>
        </w:rPr>
      </w:pPr>
    </w:p>
    <w:p>
      <w:pPr>
        <w:ind w:left="700" w:right="40" w:firstLine="393"/>
        <w:spacing w:after="0" w:line="255" w:lineRule="auto"/>
        <w:rPr>
          <w:sz w:val="20"/>
          <w:szCs w:val="20"/>
          <w:color w:val="auto"/>
        </w:rPr>
      </w:pPr>
      <w:r>
        <w:rPr>
          <w:rFonts w:ascii="Times New Roman" w:cs="Times New Roman" w:eastAsia="Times New Roman" w:hAnsi="Times New Roman"/>
          <w:sz w:val="16"/>
          <w:szCs w:val="16"/>
          <w:color w:val="auto"/>
        </w:rPr>
        <w:t>We cannot assure you that our existing privacy and personal protection system and technical measures will be considered sufficient under applicable laws and regulations. We could be adversely affected if legislation or regulations in China are expanded to require changes in business practices or privacy policies, or if the PRC governmental authorities interpret or implement their legislation or regulations in ways that negatively affect our business, financial condition and results of operations. In addition to laws, regulations and other applicable rules regarding privacy and privacy advocacy, industry groups or other private parties may propose new and different privacy standards. Because the interpretation and application of privacy and data protection laws and privacy standards are still uncertain, it is possible that these laws or privacy standards may be interpreted and applied in a manner that is inconsistent with our practices. Any inability to adequately address privacy concerns, even if unfounded, or to comply with applicable privacy or data protection laws, regulations and privacy standards, could result in additional cost and liability for us, damage our reputation, inhibit the use of our platform and harm our business.</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Failure to obtain, renew, or retain licenses, permits or approvals may affect our ability to conduct or expand our business.</w:t>
      </w:r>
    </w:p>
    <w:p>
      <w:pPr>
        <w:spacing w:after="0" w:line="109"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We are required to obtain applicable licenses, permits and approvals from different PRC regulatory authorities in order to conduct or expand our business. Various governmental authorities in the PRC have promulgated various regulations on the insurance business and internet-based services, including, among others, regulations requiring an Insurance Brokerage License, a License for Operating Insurance Agent Services, or the Insurance Agency License and an ICP License. We have obtained, renewed and maintained our Insurance Brokerage License, our Insurance Agency Licenses and our ICP License as required by the PRC regulatory authorities. However, we cannot assure you that we will be able to obtain licenses and permits necessary to conduct all our future or innovative internet-based businesses, mobile businesses and related businesses in China in a timely manner, failure of which may subject us to fines and other legal or administrative sanctions. There is no assurance that the PRC regulatory authorities will not issue new regulations governing the internet or the insurance product and service industry that might require us to obtain additional licenses, permits or approvals for our current or future business operations, which may materially and adversely affect our business operations and financial condition.</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0520"/>
          </w:cols>
          <w:pgMar w:left="320" w:top="447" w:right="10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1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If we fail to source, design and develop insurance products catering to the evolving needs of insurance clients, we may not be able to retain existing insurance clients or attract new insurance clients to our platform.</w:t>
      </w:r>
    </w:p>
    <w:p>
      <w:pPr>
        <w:spacing w:after="0" w:line="43"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Our future growth depends on our ability to continue to attract new insurance clients and to generate new purchases from existing clients. We must stay abreast of emerging client preferences and product trends that will appeal to existing and potential insurance clients. Our platform makes personalized recommendations of insurance products to clients based on their needs, and offers a comprehensive suite of services to ensure a smooth and efficient insurance experience. We also develop insurance products in cooperation with our insurer partners to meet the evolving needs of insurance clients. Our ability to provide these products and services is dependent on our insurance expertise and our market data analytical capabilities. However, there is no assurance that the insurance products and services that we design and develop together with our insurer partners will cater to the needs of potential or existing insurance clients, sustain for a period of time that we expect them to, or be welcomed or accepted by the market at all. If insurance clients cannot find their desired products on our platform at attractive prices and terms, or find their experience with us dissatisfactory, they may lose trust in us and turn to other channels for their insurance needs, which in turn may materially and adversely affect our business, financial condition and results of operations.</w:t>
      </w:r>
    </w:p>
    <w:p>
      <w:pPr>
        <w:spacing w:after="0" w:line="258" w:lineRule="exact"/>
        <w:rPr>
          <w:sz w:val="20"/>
          <w:szCs w:val="20"/>
          <w:color w:val="auto"/>
        </w:rPr>
      </w:pPr>
    </w:p>
    <w:p>
      <w:pPr>
        <w:ind w:left="700" w:right="2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leverage our user traffic channels to attract new insurance clients to our platform and incur significant costs on paying our user traffic channels service fees.</w:t>
      </w:r>
    </w:p>
    <w:p>
      <w:pPr>
        <w:spacing w:after="0" w:line="43" w:lineRule="exact"/>
        <w:rPr>
          <w:sz w:val="20"/>
          <w:szCs w:val="20"/>
          <w:color w:val="auto"/>
        </w:rPr>
      </w:pPr>
    </w:p>
    <w:p>
      <w:pPr>
        <w:ind w:left="700" w:right="40" w:firstLine="393"/>
        <w:spacing w:after="0" w:line="256" w:lineRule="auto"/>
        <w:rPr>
          <w:sz w:val="20"/>
          <w:szCs w:val="20"/>
          <w:color w:val="auto"/>
        </w:rPr>
      </w:pPr>
      <w:r>
        <w:rPr>
          <w:rFonts w:ascii="Times New Roman" w:cs="Times New Roman" w:eastAsia="Times New Roman" w:hAnsi="Times New Roman"/>
          <w:sz w:val="16"/>
          <w:szCs w:val="16"/>
          <w:color w:val="auto"/>
        </w:rPr>
        <w:t>In addition to growing our client base organically, we also cooperate with our user traffic channels to convert their user traffic to client base of our platform. Our agreements with user traffic channels are generally one to three years subject to renewal. We believe that we generally maintain good relationships with our user traffic channels. However, we cannot assure you that we will be able to maintain long-term cooperative relationship with them. If our user traffic channels terminate their cooperation with us, do not renew their agreements with us, choose to work with our competitors, or terminate their cooperation with us due to regulatory requirements, we may lose potential clients and our business and results of operations will be negatively affected. In addition, if our user traffic channels lose influence over their traffic or otherwise fail to effectively convert their users to our clients, our business and results of operations may suffer.</w:t>
      </w:r>
    </w:p>
    <w:p>
      <w:pPr>
        <w:spacing w:after="0" w:line="169" w:lineRule="exact"/>
        <w:rPr>
          <w:sz w:val="20"/>
          <w:szCs w:val="20"/>
          <w:color w:val="auto"/>
        </w:rPr>
      </w:pPr>
    </w:p>
    <w:p>
      <w:pPr>
        <w:ind w:left="700" w:right="140" w:firstLine="393"/>
        <w:spacing w:after="0" w:line="267" w:lineRule="auto"/>
        <w:rPr>
          <w:sz w:val="20"/>
          <w:szCs w:val="20"/>
          <w:color w:val="auto"/>
        </w:rPr>
      </w:pPr>
      <w:r>
        <w:rPr>
          <w:rFonts w:ascii="Times New Roman" w:cs="Times New Roman" w:eastAsia="Times New Roman" w:hAnsi="Times New Roman"/>
          <w:sz w:val="16"/>
          <w:szCs w:val="16"/>
          <w:color w:val="auto"/>
        </w:rPr>
        <w:t>Furthermore, we have incurred significant expenses on paying our user traffic channels service fees and advertisement fees. If certain of our existing user traffic channels require higher rates of service fees or we fail to negotiate favorable terms with them or find new user traffic channels, our client acquisition costs may increase, and our results of operations may be adversely affected.</w:t>
      </w:r>
    </w:p>
    <w:p>
      <w:pPr>
        <w:spacing w:after="0" w:line="250" w:lineRule="exact"/>
        <w:rPr>
          <w:sz w:val="20"/>
          <w:szCs w:val="20"/>
          <w:color w:val="auto"/>
        </w:rPr>
      </w:pPr>
    </w:p>
    <w:p>
      <w:pPr>
        <w:ind w:left="700" w:right="2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Any harm to our brand, failure to maintain and enhance our brand recognition, or failure to do so in a cost-effective manner may materially and adversely affect our business and results of operations.</w:t>
      </w:r>
    </w:p>
    <w:p>
      <w:pPr>
        <w:spacing w:after="0" w:line="43" w:lineRule="exact"/>
        <w:rPr>
          <w:sz w:val="20"/>
          <w:szCs w:val="20"/>
          <w:color w:val="auto"/>
        </w:rPr>
      </w:pPr>
    </w:p>
    <w:p>
      <w:pPr>
        <w:ind w:left="700" w:right="40" w:firstLine="393"/>
        <w:spacing w:after="0" w:line="262" w:lineRule="auto"/>
        <w:rPr>
          <w:sz w:val="20"/>
          <w:szCs w:val="20"/>
          <w:color w:val="auto"/>
        </w:rPr>
      </w:pPr>
      <w:r>
        <w:rPr>
          <w:rFonts w:ascii="Times New Roman" w:cs="Times New Roman" w:eastAsia="Times New Roman" w:hAnsi="Times New Roman"/>
          <w:sz w:val="16"/>
          <w:szCs w:val="16"/>
          <w:color w:val="auto"/>
        </w:rPr>
        <w:t>We believe that the recognition and reputation of our “Huize” brand among our insurance clients, insurer partners, user traffic channels and other industry participants have contributed significantly to the growth and success of our business. Maintaining and enhancing the recognition and reputation of our brand are critical to our business and competitiveness. Many factors, some of which are beyond our control, are important to maintain and enhance our brand. These factors include our ability to:</w:t>
      </w:r>
    </w:p>
    <w:p>
      <w:pPr>
        <w:spacing w:after="0" w:line="76" w:lineRule="exact"/>
        <w:rPr>
          <w:sz w:val="20"/>
          <w:szCs w:val="20"/>
          <w:color w:val="auto"/>
        </w:rPr>
      </w:pPr>
    </w:p>
    <w:p>
      <w:pPr>
        <w:ind w:left="1580" w:hanging="391"/>
        <w:spacing w:after="0"/>
        <w:tabs>
          <w:tab w:leader="none" w:pos="1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compelling products and insurance experience to clients;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or improve satisfaction with our client services;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brand awareness through marketing and brand promotion activities;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the reliability of our platform and technology-based systems;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preserve our reputation and goodwill in the event of any negative publicity on us, our partners or the industry in general; and</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our cooperative relationships with business partners.</w:t>
      </w:r>
    </w:p>
    <w:p>
      <w:pPr>
        <w:spacing w:after="0" w:line="1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0540"/>
          </w:cols>
          <w:pgMar w:left="320" w:top="447" w:right="10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If we are unable to maintain our reputation, enhance our brand recognition or increase positive awareness of our platform, products and services, it may be difficult to maintain and grow our client base, and our business and growth prospects may be materially and adversely affected.</w:t>
      </w:r>
    </w:p>
    <w:p>
      <w:pPr>
        <w:spacing w:after="0" w:line="143"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Furthermore, if we are unable to conduct our branding and marketing activities cost-effectively, our financial condition and results of operations may be materially and adversely affected. We have incurred expenses on a variety of different sales and marketing efforts designed to enhance our brand recognition and increase sales of insurance products on our platform. Our marketing and promotional activities may not be well received by clients and may not achieve anticipated results. Marketing approaches and tools in insurance market in China are evolving. This further requires us to enhance our marketing approaches and experiment with new marketing methods to keep pace with industry developments and consumer preferences, which may not be as cost-effective as our marketing activities in the past and may lead to significantly higher marketing expenses in the future. Failure to refine our existing marketing approaches or to introduce new effective marketing approaches in a cost-effective manner could impact our revenues and profitability.</w:t>
      </w:r>
    </w:p>
    <w:p>
      <w:pPr>
        <w:spacing w:after="0" w:line="258" w:lineRule="exact"/>
        <w:rPr>
          <w:sz w:val="20"/>
          <w:szCs w:val="20"/>
          <w:color w:val="auto"/>
        </w:rPr>
      </w:pPr>
    </w:p>
    <w:p>
      <w:pPr>
        <w:ind w:left="700" w:right="42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depend on our cooperation with our insurer partners. Our business may be negatively affected if our insurer partners do not continue their relationship with us or if their operations fail.</w:t>
      </w:r>
    </w:p>
    <w:p>
      <w:pPr>
        <w:spacing w:after="0" w:line="43" w:lineRule="exact"/>
        <w:rPr>
          <w:sz w:val="20"/>
          <w:szCs w:val="20"/>
          <w:color w:val="auto"/>
        </w:rPr>
      </w:pPr>
    </w:p>
    <w:p>
      <w:pPr>
        <w:ind w:left="700" w:right="40" w:firstLine="393"/>
        <w:spacing w:after="0" w:line="256" w:lineRule="auto"/>
        <w:rPr>
          <w:sz w:val="20"/>
          <w:szCs w:val="20"/>
          <w:color w:val="auto"/>
        </w:rPr>
      </w:pPr>
      <w:r>
        <w:rPr>
          <w:rFonts w:ascii="Times New Roman" w:cs="Times New Roman" w:eastAsia="Times New Roman" w:hAnsi="Times New Roman"/>
          <w:sz w:val="16"/>
          <w:szCs w:val="16"/>
          <w:color w:val="auto"/>
        </w:rPr>
        <w:t>Our relationship with insurer partners is crucial to our success. We generate a substantial portion of our revenues from commission fees paid by insurer partners. Certain insurer partners have accounted for a significant portion of our revenues in the past. Our five largest insurer partners in terms of operating revenue contribution aggregately accounted for 63.0%, 78.4% and 56.5% of our total operating revenue in 2020, 2021 and 2022, respectively. While we continually seek to diversify our insurer partners, there can be no assurance that the concentration will decrease. Our ability to attract clients depends on the quantity and quality of insurance products offered by insurer partners on our platform. We provide intelligent underwriting services and integrated solutions to our insurer partners. Our arrangements with our insurer partners are typically not exclusive, and they may have similar arrangements with our competitors. If insurer partners are dissatisfied with our services and solutions or find us ineffective in enhancing their profitability, they may terminate their relationships with us and decide to cooperate with our competitors.</w:t>
      </w:r>
    </w:p>
    <w:p>
      <w:pPr>
        <w:spacing w:after="0" w:line="165" w:lineRule="exact"/>
        <w:rPr>
          <w:sz w:val="20"/>
          <w:szCs w:val="20"/>
          <w:color w:val="auto"/>
        </w:rPr>
      </w:pPr>
    </w:p>
    <w:p>
      <w:pPr>
        <w:jc w:val="both"/>
        <w:ind w:left="700" w:right="140" w:firstLine="393"/>
        <w:spacing w:after="0" w:line="262" w:lineRule="auto"/>
        <w:rPr>
          <w:sz w:val="20"/>
          <w:szCs w:val="20"/>
          <w:color w:val="auto"/>
        </w:rPr>
      </w:pPr>
      <w:r>
        <w:rPr>
          <w:rFonts w:ascii="Times New Roman" w:cs="Times New Roman" w:eastAsia="Times New Roman" w:hAnsi="Times New Roman"/>
          <w:sz w:val="16"/>
          <w:szCs w:val="16"/>
          <w:color w:val="auto"/>
        </w:rPr>
        <w:t>Moreover, insurance companies we work with may develop their own technology capabilities to serve insurance clients online. There can be no assurance that we can maintain relationships with our existing insurer partners on commercially desirable terms. If we fail to prove that our technology capabilities could help improve their operating efficiency or are otherwise valuable to them, our business, financial performance and prospects will be materially and adversely affected.</w:t>
      </w:r>
    </w:p>
    <w:p>
      <w:pPr>
        <w:spacing w:after="0" w:line="161" w:lineRule="exact"/>
        <w:rPr>
          <w:sz w:val="20"/>
          <w:szCs w:val="20"/>
          <w:color w:val="auto"/>
        </w:rPr>
      </w:pPr>
    </w:p>
    <w:p>
      <w:pPr>
        <w:ind w:left="700" w:right="60" w:firstLine="393"/>
        <w:spacing w:after="0" w:line="262" w:lineRule="auto"/>
        <w:rPr>
          <w:sz w:val="20"/>
          <w:szCs w:val="20"/>
          <w:color w:val="auto"/>
        </w:rPr>
      </w:pPr>
      <w:r>
        <w:rPr>
          <w:rFonts w:ascii="Times New Roman" w:cs="Times New Roman" w:eastAsia="Times New Roman" w:hAnsi="Times New Roman"/>
          <w:sz w:val="16"/>
          <w:szCs w:val="16"/>
          <w:color w:val="auto"/>
        </w:rPr>
        <w:t>Furthermore, if our insurer partners or the reinsurance companies they partner with fail to properly fulfill their obligations as insurers under the insurance policies sold on our platform, our clients may lose faith in our platform. If our insurer partners or the reinsurance companies they partner with become insolvent, our clients may not be able to realize the protection expected from the insurance policies, which will negatively affect our reputation and results of operations.</w:t>
      </w:r>
    </w:p>
    <w:p>
      <w:pPr>
        <w:spacing w:after="0" w:line="253" w:lineRule="exact"/>
        <w:rPr>
          <w:sz w:val="20"/>
          <w:szCs w:val="20"/>
          <w:color w:val="auto"/>
        </w:rPr>
      </w:pPr>
    </w:p>
    <w:p>
      <w:pPr>
        <w:ind w:left="700" w:right="3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ensure the accuracy and completeness of product information and the effectiveness of our recommendation of insurance products on our platform.</w:t>
      </w:r>
    </w:p>
    <w:p>
      <w:pPr>
        <w:spacing w:after="0" w:line="43"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Our insurance clients rely on the insurance product information we provide on our platform. While we believe that such information is generally accurate, complete and reliable, there can be no assurance that the accuracy, completeness or reliability of the information can be maintained in the future. We had in the past failed to provide legally required disclosure on our platform to the attention of our clients, including how we are paid as an insurance broker, and whether we or our senior management are related parties of our insurer partners and other insurance institutions. If we provide any inaccurate or incomplete information on our platform due to either our own fault or that of our insurer partners, or we fail to present accurate or complete information of any insurance products which could lead to our clients’ failure to get the protection or us being warned or punished by regulatory authorities, our reputation could be harmed and we could experience reduced user traffic to our platform, which may adversely affect our business and financial performance.</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0540"/>
          </w:cols>
          <w:pgMar w:left="320" w:top="447" w:right="10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100" w:firstLine="393"/>
        <w:spacing w:after="0" w:line="256" w:lineRule="auto"/>
        <w:rPr>
          <w:sz w:val="20"/>
          <w:szCs w:val="20"/>
          <w:color w:val="auto"/>
        </w:rPr>
      </w:pPr>
      <w:r>
        <w:rPr>
          <w:rFonts w:ascii="Times New Roman" w:cs="Times New Roman" w:eastAsia="Times New Roman" w:hAnsi="Times New Roman"/>
          <w:sz w:val="16"/>
          <w:szCs w:val="16"/>
          <w:color w:val="auto"/>
        </w:rPr>
        <w:t>We may not be able to recommend suitable insurance products to our clients. Our search and recommendation engine may fail to function properly. The data provided to us by our clients, insurer partners and user traffic channels may not be accurate or up to date. Our professional consultation team may not fully understand the clients’ insurance needs and recommend suitable products to them. If our clients are recommended insurance products that do not suit their protection needs, they may lose trust in our platform. Meanwhile, our insurer partners may find our recommendation ineffective. Our insurance clients and insurer partners may consequently be reluctant to continue to use our platform, and our insurer partners may be hesitant to continue to partner with us. As a result, our business, reputation, financial performance and prospects will be materially and adversely affected.</w:t>
      </w:r>
    </w:p>
    <w:p>
      <w:pPr>
        <w:spacing w:after="0" w:line="261" w:lineRule="exact"/>
        <w:rPr>
          <w:sz w:val="20"/>
          <w:szCs w:val="20"/>
          <w:color w:val="auto"/>
        </w:rPr>
      </w:pPr>
    </w:p>
    <w:p>
      <w:pPr>
        <w:jc w:val="both"/>
        <w:ind w:left="700" w:right="38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business is subject to intense competition, and we may fail to compete successfully against existing or new competitors, which may reduce demand for our services, reduce operating margins, and further result in loss of market share, departures of qualified employees and increased capital expenditures.</w:t>
      </w:r>
    </w:p>
    <w:p>
      <w:pPr>
        <w:spacing w:after="0" w:line="58"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The online independent insurance service industry in China is intensely competitive. Our current or potential competitors include (i) other online independent insurance product and service platforms, (ii) traditional insurance intermediaries, (iii) online direct sales channels of large insurance companies, (iv) major internet companies that have commenced insurance distribution businesses, and (v) other insurance technology companies. New competitors may emerge at any time. Some of our competitors also offer their insurance products on our platform, so they both compete and cooperate with us. Existing or potential competitors may have substantially greater brand recognition and possess more financial, marketing and research resources than we do. Our competitors may introduce platforms with more attractive products, content and features, or services or solutions with competitive pricing or enhanced performance that we cannot match. Some of our competitors may have more resources to develop or acquire new technologies and react quicker to changing requirements of clients and insurance companies. In addition, our target insurance clients, PRC residents with potential insurance needs, may seek insurance products and services in well-equipped and developed neighboring insurance markets. We may fail to compete effectively with our competitors and industry participants in neighboring insurance markets, even if we take initiatives in developing our insurance service capabilities in these neighboring insurance markets, which may reduce demand for our services, result in loss of market share, and further result in reduction of operating margins and departures of qualified employees.</w:t>
      </w:r>
    </w:p>
    <w:p>
      <w:pPr>
        <w:spacing w:after="0" w:line="262" w:lineRule="exact"/>
        <w:rPr>
          <w:sz w:val="20"/>
          <w:szCs w:val="20"/>
          <w:color w:val="auto"/>
        </w:rPr>
      </w:pPr>
    </w:p>
    <w:p>
      <w:pPr>
        <w:jc w:val="both"/>
        <w:ind w:left="700" w:right="3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The proper functioning of our internet platform and technology infrastructure is essential to our business. Any disruption to our IT systems and infrastructure could materially affect our ability to maintain the satisfactory performance of our platform and deliver consistent services to our users.</w:t>
      </w:r>
    </w:p>
    <w:p>
      <w:pPr>
        <w:spacing w:after="0" w:line="58"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The reliability, availability and satisfactory performance of our IT systems are critical to our success, our ability to attract and retain clients and our ability to maintain a satisfactory user experience and client service. Our servers may be vulnerable to computer viruses, traffic spike that exceeds the capacity of our servers, electricity power interruptions, physical or electronic break-ins and similar disruptions, which could lead to system interruptions, website slowdown and unavailability, delays in transaction processing, loss of data, and the inability to accept and fulfill client orders. We have not experienced system interruptions that materially affected our operations in the past, but we can provide no assurance that we will not experience unexpected interruptions in the future. We can provide no assurance that our current security mechanisms will be sufficient to protect our IT systems and technology infrastructure from any third-party intrusions, electricity power interruptions, viruses and hacker attacks, information and data theft, and other similar activities. Any such future occurrences could damage our reputation and result in a material decrease in our revenues.</w:t>
      </w:r>
    </w:p>
    <w:p>
      <w:pPr>
        <w:spacing w:after="0" w:line="165" w:lineRule="exact"/>
        <w:rPr>
          <w:sz w:val="20"/>
          <w:szCs w:val="20"/>
          <w:color w:val="auto"/>
        </w:rPr>
      </w:pPr>
    </w:p>
    <w:p>
      <w:pPr>
        <w:ind w:left="700" w:right="40" w:firstLine="393"/>
        <w:spacing w:after="0" w:line="259" w:lineRule="auto"/>
        <w:rPr>
          <w:sz w:val="20"/>
          <w:szCs w:val="20"/>
          <w:color w:val="auto"/>
        </w:rPr>
      </w:pPr>
      <w:r>
        <w:rPr>
          <w:rFonts w:ascii="Times New Roman" w:cs="Times New Roman" w:eastAsia="Times New Roman" w:hAnsi="Times New Roman"/>
          <w:sz w:val="16"/>
          <w:szCs w:val="16"/>
          <w:color w:val="auto"/>
        </w:rPr>
        <w:t>We have identified deficiency in our information technology system relating to lack of necessary management and supervision of certain user/administrative accounts. We have engaged risk assurance advisors to help us design and implement IT controls necessary for us, including updating our IT security policy, enhancing management of IT system and database. However, there can be no assurance that the foregoing deficiencies can be cured in a timely and cost-effective manner. We may identify other deficiencies in the future, which may require us to expend significant resources to remediate.</w:t>
      </w:r>
    </w:p>
    <w:p>
      <w:pPr>
        <w:spacing w:after="0" w:line="3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0540"/>
          </w:cols>
          <w:pgMar w:left="320" w:top="447" w:right="10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20" w:firstLine="393"/>
        <w:spacing w:after="0" w:line="254" w:lineRule="auto"/>
        <w:rPr>
          <w:sz w:val="20"/>
          <w:szCs w:val="20"/>
          <w:color w:val="auto"/>
        </w:rPr>
      </w:pPr>
      <w:r>
        <w:rPr>
          <w:rFonts w:ascii="Times New Roman" w:cs="Times New Roman" w:eastAsia="Times New Roman" w:hAnsi="Times New Roman"/>
          <w:sz w:val="16"/>
          <w:szCs w:val="16"/>
          <w:color w:val="auto"/>
        </w:rPr>
        <w:t>Additionally, we are constantly upgrading our platform and infrastructure to comply with regulatory requirements and provide increased scale, improved performance and additional built-in functions and additional capacities. For example, on June 22, 2020, the CBIRC issued the Notice on Regulating the Traceability Management of Internet Insurance Sales, which came into effect from October 1, 2020, and provides that insurance institutions shall conduct retrospective review and management of internet insurance sales, and shall immediately suspend online insurance sales if they fail to comply with those requirements by the time the notice came into force. As of October 1, 2020, we had made rectifications in accordance with this notice. Furthermore, on January 5, 2021, the CBIRC promulgated the Measures for the Regulation of Informatization of Insurance Intermediaries, which aims to improve informatization of insurance intermediaries and stipulates regulatory requirements in respect of the construction and management of the informatization, IT system and information security. We completed most of such self-examination and rectifications in 2022. However, we cannot assure you that we will be able to complete rectifications in a timely manner or fully satisfy the regulatory requirements. In addition, rectifying, maintaining and upgrading our technology infrastructure require significant investment of time and resources, including adding new hardware, updating software, and recruiting and training new engineering personnel. During updates, our systems may experience interruptions, and the new technologies and infrastructures may not be fully integrated with the existing systems timely, or at all. Any failure to maintain and improve our technology infrastructure could result in unanticipated system disruptions, slower response times, impaired quality of user experience and delays in reporting accurate operating and financial information, which, in turn, could materially and adversely affect our business, financial condition and results of operations.</w:t>
      </w:r>
    </w:p>
    <w:p>
      <w:pPr>
        <w:spacing w:after="0" w:line="25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6"/>
          <w:szCs w:val="16"/>
          <w:b w:val="1"/>
          <w:bCs w:val="1"/>
          <w:i w:val="1"/>
          <w:iCs w:val="1"/>
          <w:color w:val="auto"/>
        </w:rPr>
        <w:t>Failure to prevent cybersecurity breaches will materially and adversely affect our business, reputation, financial condition and results of operations.</w:t>
      </w:r>
    </w:p>
    <w:p>
      <w:pPr>
        <w:spacing w:after="0" w:line="109" w:lineRule="exact"/>
        <w:rPr>
          <w:sz w:val="20"/>
          <w:szCs w:val="20"/>
          <w:color w:val="auto"/>
        </w:rPr>
      </w:pPr>
    </w:p>
    <w:p>
      <w:pPr>
        <w:ind w:left="700" w:right="40" w:firstLine="393"/>
        <w:spacing w:after="0" w:line="253" w:lineRule="auto"/>
        <w:rPr>
          <w:sz w:val="20"/>
          <w:szCs w:val="20"/>
          <w:color w:val="auto"/>
        </w:rPr>
      </w:pPr>
      <w:r>
        <w:rPr>
          <w:rFonts w:ascii="Times New Roman" w:cs="Times New Roman" w:eastAsia="Times New Roman" w:hAnsi="Times New Roman"/>
          <w:sz w:val="16"/>
          <w:szCs w:val="16"/>
          <w:color w:val="auto"/>
        </w:rPr>
        <w:t>The massive volume of data that we process and store makes us or third-party service providers who host our servers an attractive target and potentially vulnerable to cyber-attacks, computer viruses, physical or electronic break-ins or similar disruptions. While we have taken steps to protect our database, our security measures could be breached. Because techniques used to sabotage or obtain unauthorized access to systems change frequently and generally are not recognized until they are launched against a target, we may be unable to anticipate these techniques or to implement adequate preventative measures. Any accidental or willful security breaches or other unauthorized access to our platform could cause confidential information to be stolen and used for criminal purposes. Security breaches or unauthorized access to confidential information could also expose us to liability related to the loss of the information, time-consuming and expensive litigation and negative publicity. If security measures are breached because of third-party action, employee error, malfeasance or otherwise, or if design flaws in our technology infrastructure are exposed and exploited, our relationships with users and insurer partners could be severely damaged, we could incur significant liability and our business and operations could be adversely affected. The PRC Network Security Law promulgated by the Standing Committee of the National People’s Congress, effective on June 1, 2017, stipulates that a network operator, including internet information services providers among others, must adopt technical measures and other necessary measures in accordance with applicable laws and regulations as well as compulsory national standards to safeguard the safety and stability of network operations, effectively respond to network security incidents, prevent illegal and criminal activities, and maintain the integrity, confidentiality and availability of network data. Over the past few years, the CBIRC has enhanced its supervision and has promulgated many regulation measures and requirements towards cybersecurity of online insurance business. While we have adopted comprehensive measures to comply with the applicable laws, regulations and standards, there can be no assurance that such measures will be effective. If we were found by the regulatory authorities to have failed to comply with the relevant regulatory requirements, we would be subject to warnings, fines, confiscation of illegal gains, revocation of licenses, suspension of our platform or even criminal liabilities and our business, financial condition and results of operations would be adversely affected.</w:t>
      </w:r>
    </w:p>
    <w:p>
      <w:pPr>
        <w:spacing w:after="0" w:line="2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The sophisticated and innovative technologies we use for the operation of our business are new and require continuous developments and upgrades.</w:t>
      </w:r>
    </w:p>
    <w:p>
      <w:pPr>
        <w:spacing w:after="0" w:line="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We cannot assure you that these technologies will fully support our business.</w:t>
      </w:r>
    </w:p>
    <w:p>
      <w:pPr>
        <w:spacing w:after="0" w:line="89"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We regard technology as critical to our ability to provide high-quality products and superior client services. We have invested substantial resources in developing the sophisticated and innovative technology systems that we use for our daily operations. We expect these technologies to support the smooth performance of key functions in our platform, such as searching for and finding suitable insurance products, intelligent underwriting, and claim application and settlement. To adapt to evolving client needs, requirements of insurer partners, and emerging industry trends, we may need to develop other new technologies or upgrade existing platform and systems. If our efforts to invest in the development of new technologies or the upgrade of existing technologies are unsuccessful, our business, financial condition and results of operations may be materially and adversely affected.</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0540"/>
          </w:cols>
          <w:pgMar w:left="320" w:top="447" w:right="10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60" w:firstLine="393"/>
        <w:spacing w:after="0" w:line="258" w:lineRule="auto"/>
        <w:rPr>
          <w:sz w:val="20"/>
          <w:szCs w:val="20"/>
          <w:color w:val="auto"/>
        </w:rPr>
      </w:pPr>
      <w:r>
        <w:rPr>
          <w:rFonts w:ascii="Times New Roman" w:cs="Times New Roman" w:eastAsia="Times New Roman" w:hAnsi="Times New Roman"/>
          <w:sz w:val="16"/>
          <w:szCs w:val="16"/>
          <w:color w:val="auto"/>
        </w:rPr>
        <w:t>In addition, the maintenance and processing of various operating and financial data is essential to our data analytical capabilities and the day-to-day operation of our business. Our ability to provide products and services and to conduct day-to-day business operations depend, in part, on our ability to maintain and make timely and cost-effective enhancement and upgrade to our technology and introduce innovative functions which can meet changing business and operational needs. Failure to do so could put us at a disadvantage to our competitors and cause economic losses. We can provide no assurance that we will be able to keep up with technological improvements or that the technology developed by others will not render our services less competitive or attractive.</w:t>
      </w:r>
    </w:p>
    <w:p>
      <w:pPr>
        <w:spacing w:after="0" w:line="255" w:lineRule="exact"/>
        <w:rPr>
          <w:sz w:val="20"/>
          <w:szCs w:val="20"/>
          <w:color w:val="auto"/>
        </w:rPr>
      </w:pPr>
    </w:p>
    <w:p>
      <w:pPr>
        <w:jc w:val="both"/>
        <w:ind w:left="700" w:right="18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Negative publicity about us, our shareholders, insurer partners, user traffic channels and individual and institutional promoters that we cooperate with, and other participants in the insurance industry may harm our brand and reputation and have a material adverse effect on our business and operating results.</w:t>
      </w:r>
    </w:p>
    <w:p>
      <w:pPr>
        <w:spacing w:after="0" w:line="58" w:lineRule="exact"/>
        <w:rPr>
          <w:sz w:val="20"/>
          <w:szCs w:val="20"/>
          <w:color w:val="auto"/>
        </w:rPr>
      </w:pPr>
    </w:p>
    <w:p>
      <w:pPr>
        <w:ind w:left="700" w:right="80" w:firstLine="393"/>
        <w:spacing w:after="0" w:line="284" w:lineRule="auto"/>
        <w:rPr>
          <w:sz w:val="20"/>
          <w:szCs w:val="20"/>
          <w:color w:val="auto"/>
        </w:rPr>
      </w:pPr>
      <w:r>
        <w:rPr>
          <w:rFonts w:ascii="Times New Roman" w:cs="Times New Roman" w:eastAsia="Times New Roman" w:hAnsi="Times New Roman"/>
          <w:sz w:val="16"/>
          <w:szCs w:val="16"/>
          <w:color w:val="auto"/>
        </w:rPr>
        <w:t>Our brand and reputation are critical to our business and competitiveness. Factors that are vital to our reputation include but are not limited to our ability to:</w:t>
      </w:r>
    </w:p>
    <w:p>
      <w:pPr>
        <w:spacing w:after="0" w:line="59" w:lineRule="exact"/>
        <w:rPr>
          <w:sz w:val="20"/>
          <w:szCs w:val="20"/>
          <w:color w:val="auto"/>
        </w:rPr>
      </w:pPr>
    </w:p>
    <w:p>
      <w:pPr>
        <w:ind w:left="1580" w:hanging="391"/>
        <w:spacing w:after="0"/>
        <w:tabs>
          <w:tab w:leader="none" w:pos="1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 suitable insurance products to users;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effective and smooth insurance experience to insurance clients;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enhance risk management capabilities;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innovate and improve the products and services we provide;</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manage and resolve complaints from users and insurer partners; and</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protect private information and data.</w:t>
      </w:r>
    </w:p>
    <w:p>
      <w:pPr>
        <w:spacing w:after="0" w:line="202" w:lineRule="exact"/>
        <w:rPr>
          <w:sz w:val="20"/>
          <w:szCs w:val="20"/>
          <w:color w:val="auto"/>
        </w:rPr>
      </w:pPr>
    </w:p>
    <w:p>
      <w:pPr>
        <w:ind w:left="700" w:right="20" w:firstLine="393"/>
        <w:spacing w:after="0" w:line="259" w:lineRule="auto"/>
        <w:rPr>
          <w:sz w:val="20"/>
          <w:szCs w:val="20"/>
          <w:color w:val="auto"/>
        </w:rPr>
      </w:pPr>
      <w:r>
        <w:rPr>
          <w:rFonts w:ascii="Times New Roman" w:cs="Times New Roman" w:eastAsia="Times New Roman" w:hAnsi="Times New Roman"/>
          <w:sz w:val="16"/>
          <w:szCs w:val="16"/>
          <w:color w:val="auto"/>
        </w:rPr>
        <w:t>Any negative publicity about the foregoing or other aspects of our company, including but not limited to our directors, management, shareholders, business, legal compliance, financial condition or prospects, whether with merit or not, could severely compromise our reputation and harm our business and operating results. In addition, regulatory inquiries or investigations, lawsuits initiated against us, employee misconduct, among other things, could also result in negative publicity on us. Furthermore, negative publicity with respect to our business partners or the industry in which we operate may materially and adversely affect our business and results of operations.</w:t>
      </w:r>
    </w:p>
    <w:p>
      <w:pPr>
        <w:spacing w:after="0" w:line="256" w:lineRule="exact"/>
        <w:rPr>
          <w:sz w:val="20"/>
          <w:szCs w:val="20"/>
          <w:color w:val="auto"/>
        </w:rPr>
      </w:pPr>
    </w:p>
    <w:p>
      <w:pPr>
        <w:ind w:left="700" w:right="6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Our business model may be replicated by other online insurance distributors or product and service platforms, and internet companies and traditional insurance companies aiming to engage in online insurance distribution business.</w:t>
      </w:r>
    </w:p>
    <w:p>
      <w:pPr>
        <w:spacing w:after="0" w:line="43"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The leading Chinese internet companies have experienced the fast-moving internet development in China in past decades and have demonstrated their strong capacities in client-centric and efficiency driven business development and innovation. We are operating in an emerging industry, and we may be exposed to uncertainties and risks. Given the large amount of data and strong capacity of technological development the leading Chinese internet companies have, we believe it is possible that these companies can develop their insurance business to compete with us in a short period of time. In addition, we have seen certain traditional insurance companies and other insurance service providers enter the online insurance service market in order to take advantage of the soaring opportunities emerged from online ecosystems. Considering these internet companies’ strong abilities in promoting their products through their existing abundant online channels and the potential of traditional insurance companies and other insurance service providers to convert their offline resources and clients online, we may face severe competition in the near future from these potential competitors. Moreover, given that terms of insurance product are relatively transparent, our competitors can copy the insurance products we design and develop together with our insurer partners soon after they are launched, possibly at lower prices than what we offer. If we fail to continue to upgrade our insurance product offerings that meet market demand quickly, we may not be able to keep our edge in the competition, and our business and results of operations will be negatively affected.</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0540"/>
          </w:cols>
          <w:pgMar w:left="320" w:top="447" w:right="10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2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Because the brokerage income we earn on the sale of insurance products is based on premiums, and commission fee rates agreed between us and our insurer partners, any decrease in these premiums or commission fee rates may have an adverse effect on our results of operations.</w:t>
      </w:r>
    </w:p>
    <w:p>
      <w:pPr>
        <w:spacing w:after="0" w:line="43" w:lineRule="exact"/>
        <w:rPr>
          <w:sz w:val="20"/>
          <w:szCs w:val="20"/>
          <w:color w:val="auto"/>
        </w:rPr>
      </w:pPr>
    </w:p>
    <w:p>
      <w:pPr>
        <w:ind w:left="700" w:right="20" w:firstLine="393"/>
        <w:spacing w:after="0" w:line="255" w:lineRule="auto"/>
        <w:rPr>
          <w:sz w:val="20"/>
          <w:szCs w:val="20"/>
          <w:color w:val="auto"/>
        </w:rPr>
      </w:pPr>
      <w:r>
        <w:rPr>
          <w:rFonts w:ascii="Times New Roman" w:cs="Times New Roman" w:eastAsia="Times New Roman" w:hAnsi="Times New Roman"/>
          <w:sz w:val="16"/>
          <w:szCs w:val="16"/>
          <w:color w:val="auto"/>
        </w:rPr>
        <w:t>We are engaged in the insurance brokerage business and derive revenues primarily from commission fees paid by the insurer partners whose insurance policies our clients purchase. The commission fee rates are set by insurer partners or negotiated between insurer partners and us, and are based on the premiums that the insurer products charge. Commission fee rates and premiums can change based on the prevailing economic, regulatory, taxation and competitive factors that affect our insurer partners. These factors, which are not within our control, include the capacity of insurer partners to place new business, profits of insurer partners, consumer demand for insurance products, the availability of comparable products from other insurance companies at lower costs, and the availability of alternative insurance products, such as government benefits and self-insurance plans, to consumers. In addition, premium rates for certain insurance products are tightly regulated by the CBIRC. Because we do not determine, and cannot predict, the timing or extent of premium or commission fee rate changes, we cannot predict the effect any of these changes may have on our operations. Any decrease in premiums or commission fee rates may significantly affect our profitability.</w:t>
      </w:r>
    </w:p>
    <w:p>
      <w:pPr>
        <w:spacing w:after="0" w:line="261" w:lineRule="exact"/>
        <w:rPr>
          <w:sz w:val="20"/>
          <w:szCs w:val="20"/>
          <w:color w:val="auto"/>
        </w:rPr>
      </w:pPr>
    </w:p>
    <w:p>
      <w:pPr>
        <w:ind w:left="700" w:right="6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rely on the multi-dimensional data we collect to enhance our business performance and results, and we cannot assure you that we will be able to accumulate or access sufficient data in the future or to analyze the data effectively, the lack of which may materially and adversely affect our business and results of operations.</w:t>
      </w:r>
    </w:p>
    <w:p>
      <w:pPr>
        <w:spacing w:after="0" w:line="58"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We highly rely on our data in every step of the entire insurance value chain, including research and development of our insurance products, risk management, claim settlement, and client services. We develop our proprietary technologies on top of cloud computing infrastructures of third-party providers to automate and streamline the various processes in our operations, support our day-to-day business analytics and provide periodic or real-time applications in supporting our large amount of transactions and executing our strategies. We have made substantial investments in ensuring the effectiveness of our data analytics that supports our rapid growth and enables us to provide efficient services to insurance clients. We cannot assure you that we will be able to continually collect and retain sufficient data, or improve our data technologies to satisfy our operating needs. Failure to do so will materially and adversely affect our business and results of operations.</w:t>
      </w:r>
    </w:p>
    <w:p>
      <w:pPr>
        <w:spacing w:after="0" w:line="261" w:lineRule="exact"/>
        <w:rPr>
          <w:sz w:val="20"/>
          <w:szCs w:val="20"/>
          <w:color w:val="auto"/>
        </w:rPr>
      </w:pPr>
    </w:p>
    <w:p>
      <w:pPr>
        <w:ind w:left="700" w:right="2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Failure to maintain accuracy in actuarial statistics, assisting in underwriting, and proposing pricing of insurance products to insurer partners could have a material adverse effect on our business, results of operations and financial condition.</w:t>
      </w:r>
    </w:p>
    <w:p>
      <w:pPr>
        <w:spacing w:after="0" w:line="43" w:lineRule="exact"/>
        <w:rPr>
          <w:sz w:val="20"/>
          <w:szCs w:val="20"/>
          <w:color w:val="auto"/>
        </w:rPr>
      </w:pPr>
    </w:p>
    <w:p>
      <w:pPr>
        <w:ind w:left="700" w:right="80" w:firstLine="393"/>
        <w:spacing w:after="0" w:line="254" w:lineRule="auto"/>
        <w:rPr>
          <w:sz w:val="20"/>
          <w:szCs w:val="20"/>
          <w:color w:val="auto"/>
        </w:rPr>
      </w:pPr>
      <w:r>
        <w:rPr>
          <w:rFonts w:ascii="Times New Roman" w:cs="Times New Roman" w:eastAsia="Times New Roman" w:hAnsi="Times New Roman"/>
          <w:sz w:val="16"/>
          <w:szCs w:val="16"/>
          <w:color w:val="auto"/>
        </w:rPr>
        <w:t>We operate an intelligent underwriting system where we code underwriting criteria set by insurers in our system and the system automatically generates eligibility for purchasing insurance products. For customized insurance products we designed and developed together with our insurer partners, we conduct actuarial and propose pricing range to our insurer partners. Therefore, we rely heavily on the accuracy in actuarial statistics and capabilities in accurate underwriting and proposing pricing of products we offer to conduct our business, including recording and processing our operational and financial data and effectively executing our business plans through accurate actuarial analysis and pricing modeling. The proper functioning of our actuarial analysis, statistical analysis, products pricing suggestion, risk management, financial control, accounting, client database, client service and other data processing systems is highly critical to our business and our ability to compete effectively. We rely on our dedicated talents with actuarial expertise to conduct actuarial analysis, and we rely on our research and development team to enhance our data capabilities to perform pricing modeling. We cannot guarantee you that we will be able to continue to upgrade our technology and maintain our capacity and accuracy, or to successfully retain our employees with actuarial expertise or to hire new ones. Failure of maintaining such capacity and accuracy could have a material adverse effect on our business, results of operations and financial condition.</w:t>
      </w:r>
    </w:p>
    <w:p>
      <w:pPr>
        <w:spacing w:after="0" w:line="264" w:lineRule="exact"/>
        <w:rPr>
          <w:sz w:val="20"/>
          <w:szCs w:val="20"/>
          <w:color w:val="auto"/>
        </w:rPr>
      </w:pPr>
    </w:p>
    <w:p>
      <w:pPr>
        <w:ind w:left="700" w:right="24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A significant portion of the total GWP we facilitate is contributed by a limited number of insurance products. If we cannot continue to offer these insurance products on our platform for any reason or the popularity of these products declines, the GWP we facilitate and consequently our brokerage income, may decrease and our financial condition and results of operations may be materially and adversely affected.</w:t>
      </w:r>
    </w:p>
    <w:p>
      <w:pPr>
        <w:spacing w:after="0" w:line="58" w:lineRule="exact"/>
        <w:rPr>
          <w:sz w:val="20"/>
          <w:szCs w:val="20"/>
          <w:color w:val="auto"/>
        </w:rPr>
      </w:pPr>
    </w:p>
    <w:p>
      <w:pPr>
        <w:ind w:left="700" w:right="80" w:firstLine="393"/>
        <w:spacing w:after="0" w:line="256" w:lineRule="auto"/>
        <w:rPr>
          <w:sz w:val="20"/>
          <w:szCs w:val="20"/>
          <w:color w:val="auto"/>
        </w:rPr>
      </w:pPr>
      <w:r>
        <w:rPr>
          <w:rFonts w:ascii="Times New Roman" w:cs="Times New Roman" w:eastAsia="Times New Roman" w:hAnsi="Times New Roman"/>
          <w:sz w:val="16"/>
          <w:szCs w:val="16"/>
          <w:color w:val="auto"/>
        </w:rPr>
        <w:t>A significant portion of the total GWP we facilitate is from a limited number of popular insurance products, primarily our tailor-made long-term life and health insurance products. In 2022, the top five insurance products in terms of GWP contribution aggregately accounted for 44.0% of the total GWP we facilitated, as compared to 44.8% in 2021. We believe the concentration was partially due to the comprehensive protection coverage with reasonable policy terms making these tailor-made insurance products more attractive than others. Although we plan to continue to diversify our product offerings, launch more tailor-made insurance products, expand our client base and generate brokerage income from a wider variety of insurance products, we cannot guarantee you that we will be able to succeed, and that such concentration will decrease. If we cannot continue to offer these popular insurance products for any reason or the popularity of these products decline, our brokerage income may decrease and our financial condition and results of operations may be materially and adversely affected.</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0540"/>
          </w:cols>
          <w:pgMar w:left="320" w:top="447" w:right="10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1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have in the past sold insurance products on our platform through institutional promoters lacking operating license, and individual promoters who were registered with other insurance institutions or who were not registered with any insurance institutions, which may subject us to potential regulatory risks and may cause breaches of our agreements with insurer partners.</w:t>
      </w:r>
    </w:p>
    <w:p>
      <w:pPr>
        <w:spacing w:after="0" w:line="58"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 xml:space="preserve">Through </w:t>
      </w:r>
      <w:r>
        <w:rPr>
          <w:rFonts w:ascii="Times New Roman" w:cs="Times New Roman" w:eastAsia="Times New Roman" w:hAnsi="Times New Roman"/>
          <w:sz w:val="16"/>
          <w:szCs w:val="16"/>
          <w:u w:val="single" w:color="auto"/>
          <w:color w:val="auto"/>
        </w:rPr>
        <w:t>www.jumi18.com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www.qixin18.com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www.xiebao18.com</w:t>
      </w:r>
      <w:r>
        <w:rPr>
          <w:rFonts w:ascii="Times New Roman" w:cs="Times New Roman" w:eastAsia="Times New Roman" w:hAnsi="Times New Roman"/>
          <w:sz w:val="16"/>
          <w:szCs w:val="16"/>
          <w:color w:val="auto"/>
        </w:rPr>
        <w:t>, we have in the past engaged institutional promoters lacking operating licenses, and individual promoters whose practice registrations were registered with insurance institutions other than us or who were not registered with any insurance institutions, to promote insurance products we offer on our platform. In return, we paid those promoters service fees. Our cooperation with institutional promoters lacking operating licenses may subject us to regulatory risks. Under relevant PRC laws and regulations, professional insurance intermediaries like us must complete practice registrations for individual promoters as our brokers or agents. Historically, for those individual promoters who had a relatively short history of cooperation with us, or who contributed a less significant portion of GWP facilitated on our platform, we did not complete all their practice registrations with us. As of the date of this annual report, we have terminated the cooperation with those individual promoters that have not been registered with us for promoting insurance products. However, we may be subject to administrative orders to rectify these historical non-compliance incidents or further, administrative penalties imposed by the regulatory authorities retrospectively, and if so, our business and results of operations might be materially and adversely affected.</w:t>
      </w:r>
    </w:p>
    <w:p>
      <w:pPr>
        <w:spacing w:after="0" w:line="166"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In addition, under relevant PRC laws and regulations, an individual insurance agent or insurance broker can only act within the scope of authority granted by the insurance institution that he/she is registered with. Furthermore, an individual insurance agent who sells life insurance products is only eligible to register with and act as the agent of just one licensed insurance company. Consequently, there are potential regulatory risks with regard to individuals whose activities went beyond the above restrictions in transactions completed for us, and if the regulatory authorities take retrospective actions against us on those transactions, we may be subject to administrative orders for rectifications, administrative penalties or other actions imposed by the regulatory authorities, which will negatively affect our business and results of operations. Moreover, other insurance institutions with which these individuals are registered may take legal actions against us on the ground of unfair competition or breach of contract, where applicable, for transactions these individuals completed for us in the past. As of the date of this annual report, there has been no such action taken or threatened against us. However, we cannot assure you that we will not face such legal actions in the future. Any such legal actions, regardless of merit, could be expensive and time-consuming to deal with, and could divert resources and the management’s attention from the operation of our business. If we are found liable in any such legal actions, we might be required to pay substantial amounts of damages to these insurance institutions and our business and reputation will suffer.</w:t>
      </w:r>
    </w:p>
    <w:p>
      <w:pPr>
        <w:spacing w:after="0" w:line="365" w:lineRule="exact"/>
        <w:rPr>
          <w:sz w:val="20"/>
          <w:szCs w:val="20"/>
          <w:color w:val="auto"/>
        </w:rPr>
      </w:pPr>
    </w:p>
    <w:p>
      <w:pPr>
        <w:ind w:left="700" w:right="40" w:firstLine="393"/>
        <w:spacing w:after="0" w:line="262" w:lineRule="auto"/>
        <w:rPr>
          <w:sz w:val="20"/>
          <w:szCs w:val="20"/>
          <w:color w:val="auto"/>
        </w:rPr>
      </w:pPr>
      <w:r>
        <w:rPr>
          <w:rFonts w:ascii="Times New Roman" w:cs="Times New Roman" w:eastAsia="Times New Roman" w:hAnsi="Times New Roman"/>
          <w:sz w:val="16"/>
          <w:szCs w:val="16"/>
          <w:color w:val="auto"/>
        </w:rPr>
        <w:t>Furthermore, under our agreements with certain insurer partners, we should not delegate any of our rights or obligations as their insurance service provider to any third party. These insurer partners may consider our cooperation with third-party insurance agents as a breach of their agreements with us, which may subject us to liabilities under the agreements and damage our cooperative relationships with these insurer partners, and in turn adversely affect our business and results of operations.</w:t>
      </w:r>
    </w:p>
    <w:p>
      <w:pPr>
        <w:spacing w:after="0" w:line="253" w:lineRule="exact"/>
        <w:rPr>
          <w:sz w:val="20"/>
          <w:szCs w:val="20"/>
          <w:color w:val="auto"/>
        </w:rPr>
      </w:pPr>
    </w:p>
    <w:p>
      <w:pPr>
        <w:ind w:left="700" w:right="7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Our business operation in Hong Kong had been non-compliant with applicable laws and regulations, and is subject to the complexity and uncertainties in Hong Kong laws and regulations with respect to insurance brokerage businesses and corporate governance.</w:t>
      </w:r>
    </w:p>
    <w:p>
      <w:pPr>
        <w:spacing w:after="0" w:line="43" w:lineRule="exact"/>
        <w:rPr>
          <w:sz w:val="20"/>
          <w:szCs w:val="20"/>
          <w:color w:val="auto"/>
        </w:rPr>
      </w:pPr>
    </w:p>
    <w:p>
      <w:pPr>
        <w:ind w:left="700" w:right="20" w:firstLine="393"/>
        <w:spacing w:after="0" w:line="254" w:lineRule="auto"/>
        <w:rPr>
          <w:sz w:val="20"/>
          <w:szCs w:val="20"/>
          <w:color w:val="auto"/>
        </w:rPr>
      </w:pPr>
      <w:r>
        <w:rPr>
          <w:rFonts w:ascii="Times New Roman" w:cs="Times New Roman" w:eastAsia="Times New Roman" w:hAnsi="Times New Roman"/>
          <w:sz w:val="16"/>
          <w:szCs w:val="16"/>
          <w:color w:val="auto"/>
        </w:rPr>
        <w:t>In the past, the operations of our Hong Kong subsidiary, Hong Kong Smart Choice Ventures Limited, or Hong Kong Smart Choice, had certain non-compliance incidents under applicable Hong Kong laws and regulations. Hong Kong Smart Choice, a company that is not a licensed insurance broker in Hong Kong, had engaged certain third parties to provide insurance advisory services to clients, which may be deemed as an offense under the Insurance Ordinance of Hong Kong and may subject Hong Kong Smart Choice to fines or even criminal liabilities. If Hong Kong Smart choice is punished by Hong Kong regulatory authorities, we may bear economic losses, our Hong Kong operations may be partially or wholly suspended, and our reputation, business, results of operations and our financial conditions will suffer. In addition, in May 2021, Hong Kong Smart Choice indirectly acquired 100% equity interest in Huize Hong Kong Insurance Broker Limited, or Huize HK. Huize HK was a wholly owned subsidiary of Hong Kong Smart Choice before July 2019, and had in the past been non-compliant with applicable Hong Kong laws and regulations, including carrying out solicitation activities without being authorized and failing to comply with certain corporate governance requirements under the Hong Kong law. We cannot assure you that Hong Kong Smart Choice will not bear economic loss related to historical non-compliance of Huize HK, or that our Hong Kong subsidiaries will be able to comply with all applicable Hong Kong laws and regulations with respect to insurance brokerage businesses and corporate governance, which could in turn negatively affect our reputation, business, results of operations and our financial conditions will suffer.</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0520"/>
          </w:cols>
          <w:pgMar w:left="320" w:top="447" w:right="10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We have in the past made claim payments to insurance clients at our own discretion under our agreements with insurer partners.</w:t>
      </w:r>
    </w:p>
    <w:p>
      <w:pPr>
        <w:spacing w:after="0" w:line="109"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Prior to early 2019, pursuant to our agreements with certain property &amp; casualty insurer partners, we provided claim payment services to insurance clients for small amount claim applications to expedite the claim settlement and thus enhance user experience. For insurance clients who submitted claim applications on Xiao Ma Claim, previously known as Ding Dong Claim under certain pre-determined amounts, we made advance payments directly to insurance clients, and subsequently claim these payments from our insurer partners. For claim applications that either exceed these amounts, or that we disagreed to pay, we defer the applications to our respective insurance partners to process. According to the PRC law, only licensed insurance companies are eligible to determine the final amounts for claim settlement. Therefore, the claim settlement process we applied through Xiao Ma Claim prior to early 2019 may be considered as activities exceeding our business scope, and may subject us to fines and warnings by PRC regulatory authorities. We have amended our agreements with most of the relevant insurer partners with regard to our claim settlement procedures to ensure that our insurer partners have the sole discretion in determining whether to approve claim applications and the final amounts for claim settlement. However, we cannot guarantee you that our past practice will not expose us to penalties or other regulatory actions, the occurrence of which may negatively affect our reputation, business and results of operations.</w:t>
      </w:r>
    </w:p>
    <w:p>
      <w:pPr>
        <w:spacing w:after="0" w:line="172" w:lineRule="exact"/>
        <w:rPr>
          <w:sz w:val="20"/>
          <w:szCs w:val="20"/>
          <w:color w:val="auto"/>
        </w:rPr>
      </w:pPr>
    </w:p>
    <w:p>
      <w:pPr>
        <w:ind w:left="700" w:right="100" w:firstLine="393"/>
        <w:spacing w:after="0" w:line="267" w:lineRule="auto"/>
        <w:rPr>
          <w:sz w:val="20"/>
          <w:szCs w:val="20"/>
          <w:color w:val="auto"/>
        </w:rPr>
      </w:pPr>
      <w:r>
        <w:rPr>
          <w:rFonts w:ascii="Times New Roman" w:cs="Times New Roman" w:eastAsia="Times New Roman" w:hAnsi="Times New Roman"/>
          <w:sz w:val="16"/>
          <w:szCs w:val="16"/>
          <w:color w:val="auto"/>
        </w:rPr>
        <w:t>In addition, for claim applications that we have made advance payments, our insurer partners may reject reimbursement to us, which will adversely affect our financial condition. If it takes longer time for these insurance partners to reimburse us than we expect, we will be subject to greater pressure on our cash flow, which will adversely affect our results of operations and financial conditions.</w:t>
      </w:r>
    </w:p>
    <w:p>
      <w:pPr>
        <w:spacing w:after="0" w:line="250" w:lineRule="exact"/>
        <w:rPr>
          <w:sz w:val="20"/>
          <w:szCs w:val="20"/>
          <w:color w:val="auto"/>
        </w:rPr>
      </w:pPr>
    </w:p>
    <w:p>
      <w:pPr>
        <w:ind w:left="700" w:right="2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If we cannot manage the growth of our business or execute our strategies effectively, our business and prospects may be materially and adversely affected.</w:t>
      </w:r>
    </w:p>
    <w:p>
      <w:pPr>
        <w:spacing w:after="0" w:line="43" w:lineRule="exact"/>
        <w:rPr>
          <w:sz w:val="20"/>
          <w:szCs w:val="20"/>
          <w:color w:val="auto"/>
        </w:rPr>
      </w:pPr>
    </w:p>
    <w:p>
      <w:pPr>
        <w:ind w:left="700" w:right="60" w:firstLine="393"/>
        <w:spacing w:after="0" w:line="255" w:lineRule="auto"/>
        <w:rPr>
          <w:sz w:val="20"/>
          <w:szCs w:val="20"/>
          <w:color w:val="auto"/>
        </w:rPr>
      </w:pPr>
      <w:r>
        <w:rPr>
          <w:rFonts w:ascii="Times New Roman" w:cs="Times New Roman" w:eastAsia="Times New Roman" w:hAnsi="Times New Roman"/>
          <w:sz w:val="16"/>
          <w:szCs w:val="16"/>
          <w:color w:val="auto"/>
        </w:rPr>
        <w:t>We continue to experience rapid growth in our business, which will continue to place significant demands on our management, operational and financial resources. We may encounter difficulties as we expand our operations, data and technology, sales and marketing, and general and administrative functions. We expect our expenses to continue to increase in the future as we acquire more users, launch new technology development projects and build additional technology infrastructure. Continued growth could also strain our ability to maintain the quality and reliability of our platform and services, develop and improve our operational, financial, legal and management controls, and enhance our reporting systems and procedures. Our expenses may grow faster than our revenues, and our expenses may be greater than we anticipate. We may expand into geographic areas where we do not have experience with local regulations or regulators or where local market conditions are unfavorable for our business model. Managing our growth will require significant expenditures and allocation of valuable management resources. If we fail to achieve the necessary level of efficiency in our organization as it grows, our business, operating results and financial condition could be harmed.</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0540"/>
          </w:cols>
          <w:pgMar w:left="320" w:top="447" w:right="10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3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Acquisitions, strategic alliances and investments could be difficult to integrate, disrupt our business and lower our results of operations and the value of your investment.</w:t>
      </w:r>
    </w:p>
    <w:p>
      <w:pPr>
        <w:spacing w:after="0" w:line="43" w:lineRule="exact"/>
        <w:rPr>
          <w:sz w:val="20"/>
          <w:szCs w:val="20"/>
          <w:color w:val="auto"/>
        </w:rPr>
      </w:pPr>
    </w:p>
    <w:p>
      <w:pPr>
        <w:ind w:left="700" w:firstLine="393"/>
        <w:spacing w:after="0" w:line="253" w:lineRule="auto"/>
        <w:rPr>
          <w:sz w:val="20"/>
          <w:szCs w:val="20"/>
          <w:color w:val="auto"/>
        </w:rPr>
      </w:pPr>
      <w:r>
        <w:rPr>
          <w:rFonts w:ascii="Times New Roman" w:cs="Times New Roman" w:eastAsia="Times New Roman" w:hAnsi="Times New Roman"/>
          <w:sz w:val="16"/>
          <w:szCs w:val="16"/>
          <w:color w:val="auto"/>
        </w:rPr>
        <w:t>We may enter into strategic acquisitions and selected strategic alliances that are complementary to our business and operations, including opportunities that can help us further improve our technology system and sales network. For example, in December 2021, we, through a wholly owned subsidiary of the VIE, acquired 100% equity interest in Shenzhen Detong Insurance Agency Co., Ltd., formerly known as Shanghai Senhao Insurance Agency Co., Ltd., a nationwide professional insurance agency company with business networks in 11 provincial areas in China and we completed the change in equity registration with the Shenzhen Administration for Market Regulation in March 2022. Strategic acquisitions and subsequent integrations of newly acquired businesses would require significant managerial and financial resources and could result in a diversion of resources from our existing business, which in turn could have an adverse effect on our growth and business operations. Acquired businesses or assets may not generate expected financial results immediately, or at all, and may incur losses to our business. We may, from time to time, terminate our planned acquisitions, strategic alliances and investments due to adjustments to our business plans or as a result of factors beyond our control, such as failure by us or our business partners to fulfill closing conditions. The cost and duration of integrating newly acquired businesses could also materially exceed our expectations, which could negatively affect our results of operation. In addition, acquisitions of and strategic alliances with third parties could also subject us to risks associated with sharing proprietary information, non-performance or default by counterparties, and increased expenses in establishing these new alliances, any of which may materially and adversely affect our business. We may have limited ability to control or monitor the actions of our strategic partners. To the extent an enterprise acquired us or a strategic partner suffers any negative publicity as a result of its business operations, our reputation may be negatively affected by virtue of our association with such party. Furthermore, certain acquired business may had historical non-compliance incidents before our acquisition. While we took measures in order to ensure compliance after the acquisition, we cannot assure you that we will not be subject to retrospective administrative penalties imposed by the regulatory authorities regarding the historical non-compliance, and if so, our business and results of operations might be materially and adversely affected.</w:t>
      </w:r>
    </w:p>
    <w:p>
      <w:pPr>
        <w:spacing w:after="0" w:line="172" w:lineRule="exact"/>
        <w:rPr>
          <w:sz w:val="20"/>
          <w:szCs w:val="20"/>
          <w:color w:val="auto"/>
        </w:rPr>
      </w:pPr>
    </w:p>
    <w:p>
      <w:pPr>
        <w:ind w:left="700" w:firstLine="393"/>
        <w:spacing w:after="0" w:line="267" w:lineRule="auto"/>
        <w:rPr>
          <w:sz w:val="20"/>
          <w:szCs w:val="20"/>
          <w:color w:val="auto"/>
        </w:rPr>
      </w:pPr>
      <w:r>
        <w:rPr>
          <w:rFonts w:ascii="Times New Roman" w:cs="Times New Roman" w:eastAsia="Times New Roman" w:hAnsi="Times New Roman"/>
          <w:sz w:val="16"/>
          <w:szCs w:val="16"/>
          <w:color w:val="auto"/>
        </w:rPr>
        <w:t>In addition, certain shareholders operate similar insurance product and service platforms like we do and there remain potential conflicts of interest. If any of such conflicts of interest are not resolved in our favor, we could lose opportunities in strategic acquisitions and alliances, and our business, financial condition and results of operations will be materially and adversely affected.</w:t>
      </w:r>
    </w:p>
    <w:p>
      <w:pPr>
        <w:spacing w:after="0" w:line="250" w:lineRule="exact"/>
        <w:rPr>
          <w:sz w:val="20"/>
          <w:szCs w:val="20"/>
          <w:color w:val="auto"/>
        </w:rPr>
      </w:pPr>
    </w:p>
    <w:p>
      <w:pPr>
        <w:ind w:left="700" w:right="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Our success depends on the continued efforts of our senior management. If one or more of our key executives were unable or unwilling to continue in their present positions, our business may be severely disrupted.</w:t>
      </w:r>
    </w:p>
    <w:p>
      <w:pPr>
        <w:spacing w:after="0" w:line="43" w:lineRule="exact"/>
        <w:rPr>
          <w:sz w:val="20"/>
          <w:szCs w:val="20"/>
          <w:color w:val="auto"/>
        </w:rPr>
      </w:pPr>
    </w:p>
    <w:p>
      <w:pPr>
        <w:ind w:left="700" w:right="80" w:firstLine="393"/>
        <w:spacing w:after="0" w:line="255" w:lineRule="auto"/>
        <w:rPr>
          <w:sz w:val="20"/>
          <w:szCs w:val="20"/>
          <w:color w:val="auto"/>
        </w:rPr>
      </w:pPr>
      <w:r>
        <w:rPr>
          <w:rFonts w:ascii="Times New Roman" w:cs="Times New Roman" w:eastAsia="Times New Roman" w:hAnsi="Times New Roman"/>
          <w:sz w:val="16"/>
          <w:szCs w:val="16"/>
          <w:color w:val="auto"/>
        </w:rPr>
        <w:t>Our business operations depend on the continued services of our senior management, particularly our co-founders and the executive officers named in this annual report. While we have provided different incentives to our management, we cannot assure you that we can continue to retain their services. If one or more of our key executives were unable or unwilling to continue in their present positions, we may not be able to find suitable replacements, our future growth may be constrained, our business may be severely disrupted and our financial condition and results of operations may be materially and adversely affected. In addition, although we have entered into confidentiality and non-competition agreements with our management, there is no assurance that any member of our management team will not join our competitors or form a competing business. If any dispute arises between our current or former officers and us, we may have to incur substantial costs and expenses in order to enforce such agreements in China or we may not be able to enforce them at all. If we are not able to agree on satisfactory severance arrangements with any departing officer or resolve any resulting disputes, we would incur additional time and expenses in handling such matters and our management team’s attention may be diverted.</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recruit, train and retain qualified personnel, our business may be materially and adversely affected.</w:t>
      </w:r>
    </w:p>
    <w:p>
      <w:pPr>
        <w:spacing w:after="0" w:line="109"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We believe our future success depends on our continued ability to attract, develop, motivate and retain qualified and skilled employees. Competition for personnel with expertise in insurance, sales and marketing, technology and risk management is extremely intense in China. We may not be able to hire and retain these personnel at compensation levels consistent with our existing compensation and salary structure. Some of the companies with which we compete for experienced employees have greater resources than we have and may be able to offer more attractive terms of employment. In addition, we invest significant time and resources in training our employees, which increases their value to competitors who may seek to recruit them. If we fail to retain our employees, we could incur significant expenses in hiring and training new employees, and our ability to serve insurance clients and insurer partners could diminish, resulting in a material adverse effect to our business.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0520"/>
          </w:cols>
          <w:pgMar w:left="320" w:top="447" w:right="10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1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If our user traffic channels, registered individuals, other business partners or employees engage in any misconduct or cause errors to occur in our system, our business, financial condition and results of operations could be materially and adversely affected.</w:t>
      </w:r>
    </w:p>
    <w:p>
      <w:pPr>
        <w:spacing w:after="0" w:line="43" w:lineRule="exact"/>
        <w:rPr>
          <w:sz w:val="20"/>
          <w:szCs w:val="20"/>
          <w:color w:val="auto"/>
        </w:rPr>
      </w:pPr>
    </w:p>
    <w:p>
      <w:pPr>
        <w:ind w:left="700" w:right="160" w:firstLine="393"/>
        <w:spacing w:after="0" w:line="256" w:lineRule="auto"/>
        <w:rPr>
          <w:sz w:val="20"/>
          <w:szCs w:val="20"/>
          <w:color w:val="auto"/>
        </w:rPr>
      </w:pPr>
      <w:r>
        <w:rPr>
          <w:rFonts w:ascii="Times New Roman" w:cs="Times New Roman" w:eastAsia="Times New Roman" w:hAnsi="Times New Roman"/>
          <w:sz w:val="16"/>
          <w:szCs w:val="16"/>
          <w:color w:val="auto"/>
        </w:rPr>
        <w:t>We are exposed to many types of operational risks, including the risk of misconduct and errors by our user traffic channels, other parties we collaborate with and by our employees and registered individuals. Our business depends on our employees, registered individuals and/or business partners to interact with clients and provide various services in relation to the purchase of insurance products. Misconduct could include making misrepresentations when marketing or selling insurance products to clients, hiding or falsifying material information in relation to insurance contracts, colluding with applicants, insureds, or beneficiaries to obtain insurance benefits, failing to disclose legally required information to clients, engaging in false claims or otherwise not complying with laws and regulations or our internal policies or procedures. Any of the aforementioned misconduct by parties we cooperate with may cause potential liabilities of us, and further subject us to regulatory actions and penalties. If any third parties that are important to our operations are sanctioned by regulatory actions, our business operations will be disrupted or otherwise negatively affected.</w:t>
      </w:r>
    </w:p>
    <w:p>
      <w:pPr>
        <w:spacing w:after="0" w:line="165"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We could also be negatively impacted if an operational breakdown or failure in the processing of transactions occurred, whether as a result of human errors, purposeful sabotage or fraudulent manipulation of our operations or systems. It is not always possible to identify and deter misconduct or errors by employees, registered individuals or business partners, and the precautions we take to detect and prevent this activity may not be effective in controlling unknown or unmanaged risks or losses. If any of our employees, registered individuals or business partners fail to follow our rules and procedures when interacting with clients, we could be liable for damages and subject to regulatory actions and penalties. Any of these occurrences could result in our diminished ability to operate our business, inability to attract users, reputational damage, regulatory intervention and financial harm, which could negatively impact our business, financial condition and results of operations.</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Any failure to protect our intellectual property could harm our business and competitive position.</w:t>
      </w:r>
    </w:p>
    <w:p>
      <w:pPr>
        <w:spacing w:after="0" w:line="109" w:lineRule="exact"/>
        <w:rPr>
          <w:sz w:val="20"/>
          <w:szCs w:val="20"/>
          <w:color w:val="auto"/>
        </w:rPr>
      </w:pPr>
    </w:p>
    <w:p>
      <w:pPr>
        <w:ind w:left="700" w:right="60" w:firstLine="393"/>
        <w:spacing w:after="0" w:line="256" w:lineRule="auto"/>
        <w:rPr>
          <w:sz w:val="20"/>
          <w:szCs w:val="20"/>
          <w:color w:val="auto"/>
        </w:rPr>
      </w:pPr>
      <w:r>
        <w:rPr>
          <w:rFonts w:ascii="Times New Roman" w:cs="Times New Roman" w:eastAsia="Times New Roman" w:hAnsi="Times New Roman"/>
          <w:sz w:val="16"/>
          <w:szCs w:val="16"/>
          <w:color w:val="auto"/>
        </w:rPr>
        <w:t>We regard our software registrations, trademarks, patents, domain names, know-how, proprietary technologies and similar intellectual property as critical to our success, and we rely on a combination of intellectual property laws and contractual arrangements, including confidentiality and non-compete agreements with our employees and others to protect our proprietary rights. See “Item 4. Information on the Company—B. Business Overview—Intellectual Property.” Despite these measures, any of our intellectual property rights could be challenged, invalidated, circumvented or misappropriated, or such intellectual property may not be sufficient to provide us with competitive advantages. In addition, because of the rapid pace of technological change in our industry, parts of our business rely on technologies developed or licensed by third parties, and we may not be able to obtain or continue to obtain licenses and technologies from these third parties on reasonable terms, or at all.</w:t>
      </w:r>
    </w:p>
    <w:p>
      <w:pPr>
        <w:spacing w:after="0" w:line="169"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Implementation and enforcement of PRC laws relating to intellectual property have historically been deficient and ineffective. Accordingly, protection of intellectual property rights in China may not be as effective as that in the United States or other developed jurisdictions. 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in China. Preventing any unauthorized use of our intellectual property is difficult and costly and the steps we take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In addition, our trade secrets may be leaked or otherwise become available to, or be independently discovered by, our competitors. To the extent that our employees or consultants use intellectual property owned by others in their work for us, disputes may arise as to the rights in related know-how and inventions. Any failure in protecting or enforcing our intellectual property rights could have a material adverse effect on our business, financial condition and results of operations.</w:t>
      </w:r>
    </w:p>
    <w:p>
      <w:pPr>
        <w:spacing w:after="0" w:line="2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intellectual property infringement claims, which may be expensive to defend and may disrupt our business and operations.</w:t>
      </w:r>
    </w:p>
    <w:p>
      <w:pPr>
        <w:spacing w:after="0" w:line="109"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We cannot be certain that our operations or any aspects of our business do not or will not infringe upon or otherwise violate trademarks, patents, copyrights, know-how or other intellectual property rights held by third parties. We may be from time to time in the future subject to legal proceedings and claims relating to the intellectual property rights of others. In addition, there may be third-party trademarks, patents, copyrights, know-how or other intellectual property rights that are infringed by our products, services or other aspects of our business without our awareness. Holders of such intellectual property rights may seek to enforce such intellectual property rights against us in China, the United States or other jurisdictions. If any third-party infringement claims are brought against us, we may be forced to divert management’s time and other resources from our business and operations to defend against these claims, regardless of their merits.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0520"/>
          </w:cols>
          <w:pgMar w:left="320" w:top="447" w:right="10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80" w:firstLine="393"/>
        <w:spacing w:after="0" w:line="259" w:lineRule="auto"/>
        <w:rPr>
          <w:sz w:val="20"/>
          <w:szCs w:val="20"/>
          <w:color w:val="auto"/>
        </w:rPr>
      </w:pPr>
      <w:r>
        <w:rPr>
          <w:rFonts w:ascii="Times New Roman" w:cs="Times New Roman" w:eastAsia="Times New Roman" w:hAnsi="Times New Roman"/>
          <w:sz w:val="16"/>
          <w:szCs w:val="16"/>
          <w:color w:val="auto"/>
        </w:rPr>
        <w:t>Additionally, the application and interpretation of China’s intellectual property right laws and the procedures and standards for granting trademarks, patents, copyrights, know-how or other intellectual property rights in China are still evolving and are uncertain, and we cannot assure you that PRC courts or regulatory authorities would agree with our analysis. If we were found to have violated the intellectual property rights of others, we may be subject to liability for our infringement activities or may be prohibited from using such intellectual property, and we may incur licensing fees or be forced to develop alternatives of our own. As a result, our business and financial performance may be materially and adversely affected.</w:t>
      </w:r>
    </w:p>
    <w:p>
      <w:pPr>
        <w:spacing w:after="0" w:line="2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Our operations depend on the performance of the internet infrastructure and telecommunications networks in China.</w:t>
      </w:r>
    </w:p>
    <w:p>
      <w:pPr>
        <w:spacing w:after="0" w:line="109"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Almost all access to the internet in China is maintained through state-owned telecommunication operators under the administrative control and regulatory supervision of the Ministry of Industry and Information Technology. We primarily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China’s internet infrastructure or the fixed telecommunications networks provided by telecommunication service providers. With the expansion of our business, we may be required to upgrade our technology and infrastructure to keep up with the increasing traffic on our platform. We cannot assure you that the internet infrastructure and the fixed telecommunications networks in China will be able to support the demands associated with the continued growth in internet usage.</w:t>
      </w:r>
    </w:p>
    <w:p>
      <w:pPr>
        <w:spacing w:after="0" w:line="169" w:lineRule="exact"/>
        <w:rPr>
          <w:sz w:val="20"/>
          <w:szCs w:val="20"/>
          <w:color w:val="auto"/>
        </w:rPr>
      </w:pPr>
    </w:p>
    <w:p>
      <w:pPr>
        <w:ind w:left="700" w:right="100" w:firstLine="393"/>
        <w:spacing w:after="0" w:line="267" w:lineRule="auto"/>
        <w:rPr>
          <w:sz w:val="20"/>
          <w:szCs w:val="20"/>
          <w:color w:val="auto"/>
        </w:rPr>
      </w:pPr>
      <w:r>
        <w:rPr>
          <w:rFonts w:ascii="Times New Roman" w:cs="Times New Roman" w:eastAsia="Times New Roman" w:hAnsi="Times New Roman"/>
          <w:sz w:val="16"/>
          <w:szCs w:val="16"/>
          <w:color w:val="auto"/>
        </w:rPr>
        <w:t>In addition, we have no control over the costs of the services provided by telecommunication service providers. If the prices we pay for telecommunications and internet services rise significantly, our financial performance may be adversely affected. Furthermore, if internet access fees or other charges to internet users increase, our user traffic may decline and our business may be harmed.</w:t>
      </w: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Our future growth depends on the further acceptance of the internet as an effective platform for disseminating insurance products and content.</w:t>
      </w:r>
    </w:p>
    <w:p>
      <w:pPr>
        <w:spacing w:after="0" w:line="109" w:lineRule="exact"/>
        <w:rPr>
          <w:sz w:val="20"/>
          <w:szCs w:val="20"/>
          <w:color w:val="auto"/>
        </w:rPr>
      </w:pPr>
    </w:p>
    <w:p>
      <w:pPr>
        <w:ind w:left="700" w:right="160" w:firstLine="393"/>
        <w:spacing w:after="0" w:line="254" w:lineRule="auto"/>
        <w:rPr>
          <w:sz w:val="20"/>
          <w:szCs w:val="20"/>
          <w:color w:val="auto"/>
        </w:rPr>
      </w:pPr>
      <w:r>
        <w:rPr>
          <w:rFonts w:ascii="Times New Roman" w:cs="Times New Roman" w:eastAsia="Times New Roman" w:hAnsi="Times New Roman"/>
          <w:sz w:val="16"/>
          <w:szCs w:val="16"/>
          <w:color w:val="auto"/>
        </w:rPr>
        <w:t>The internet, and particularly the mobile internet, has gained increasing popularity in China as a platform for insurance products and content in recent years. However, certain participants in the industry, especially traditional insurance companies, and many insurance clients have limited experience in handling insurance products and content online, and some insurance clients may have reservations about using online platforms. For example, clients may not find online content to be reliable sources of insurance product information. Some insurance companies and reinsurance companies may not believe online platforms are secure for risk assessment and risk management. Others may not find online platforms effective when promoting and providing their products and services, especially to targeted clients in lower-tier cities or rural areas. If we fail to educate clients, insurance companies and reinsurance companies about the value of our platform and our products and services, our growth will be limited and our business, financial performance and prospects may be materially and adversely affected. The further acceptance of the internet and particularly the mobile internet as an effective and efficient platform for insurance products and content is also affected by factors beyond our control, including negative publicity and restrictive regulatory measures. If online and mobile networks do not achieve adequate acceptance in the market, our growth prospects, results of operations and financial condition could be harmed.</w:t>
      </w:r>
    </w:p>
    <w:p>
      <w:pPr>
        <w:spacing w:after="0" w:line="2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obtain additional capital when desired, on favorable terms or at all.</w:t>
      </w:r>
    </w:p>
    <w:p>
      <w:pPr>
        <w:spacing w:after="0" w:line="109"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We need to make continued investments in facilities, hardware, software, technological systems and to retain talents to remain competitive. Due to the unpredictable nature of the capital markets and our industry, there can be no assurance that we will be able to raise additional capital on terms favorable to us, or at all, if and when required, especially if we experience disappointing operating results. If adequate capital is not available to us as required, our ability to fund our operations, take advantage of unanticipated opportunities, develop or enhance our infrastructure or respond to competitive pressures could be significantly limited. If we do raise additional funds through the issuance of equity or convertible debt securities, the ownership interests of our shareholders could be significantly diluted. These newly issued securities may have rights, preferences or privileges senior to those of existing shareholders.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0540"/>
          </w:cols>
          <w:pgMar w:left="320" w:top="447" w:right="10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2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Our current risk management system may not be able to exhaustively assess or mitigate all risks to which we are exposed, which could negatively affect our business and results of operations.</w:t>
      </w:r>
    </w:p>
    <w:p>
      <w:pPr>
        <w:spacing w:after="0" w:line="43" w:lineRule="exact"/>
        <w:rPr>
          <w:sz w:val="20"/>
          <w:szCs w:val="20"/>
          <w:color w:val="auto"/>
        </w:rPr>
      </w:pPr>
    </w:p>
    <w:p>
      <w:pPr>
        <w:ind w:left="700" w:right="140" w:firstLine="393"/>
        <w:spacing w:after="0" w:line="258" w:lineRule="auto"/>
        <w:rPr>
          <w:sz w:val="20"/>
          <w:szCs w:val="20"/>
          <w:color w:val="auto"/>
        </w:rPr>
      </w:pPr>
      <w:r>
        <w:rPr>
          <w:rFonts w:ascii="Times New Roman" w:cs="Times New Roman" w:eastAsia="Times New Roman" w:hAnsi="Times New Roman"/>
          <w:sz w:val="16"/>
          <w:szCs w:val="16"/>
          <w:color w:val="auto"/>
        </w:rPr>
        <w:t>We have established risk management, quality control and internal control systems, consisting of policies and procedures that we believe are appropriate for our business. However, the implementation of such policies and procedures may involve human error and mistakes. Moreover, we may be exposed to fraud or other misconduct committed by our employees, or other third parties, including but not limited to our clients and partners, or other events that are out of our control, that could adversely affect our product quality and reputation and subject us to financial losses and sanctions imposed by government authorities. As a result, despite our efforts to improve the aforementioned systems, we cannot assure you that our risk management, quality control and internal control systems are able to completely eliminate non-compliance matters or product defects.</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Failure to deal effectively with any fraud perpetrated on our platform could harm our business.</w:t>
      </w:r>
    </w:p>
    <w:p>
      <w:pPr>
        <w:spacing w:after="0" w:line="109"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We face risks with respect to fraudulent activities on our platform. We cannot guarantee that all of the transactions conducted on our platform with insurance clients are commercially fair. We cannot fully eliminate insurance fraud and reverse selection insurance behaviors. Although we have implemented various measures to detect and reduce the occurrence of fraudulent activities on our platform, there can be no assurance that these measures will be effective in combating fraudulent transactions or improving overall satisfaction among our insurance clients and insurer partners. In addition, illegal, fraudulent or collusive activities by our employees or third-party agents could also subject us to liability and negative publicity. Any illegal, fraudulent or collusive activity could severely damage our brand and reputation as an operator of a trusted online platform, which could adversely affect our business, financial condition and results of operations.</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Our insurance coverage may not be adequate, which could expose us to significant costs and business disruptions.</w:t>
      </w:r>
    </w:p>
    <w:p>
      <w:pPr>
        <w:spacing w:after="0" w:line="109" w:lineRule="exact"/>
        <w:rPr>
          <w:sz w:val="20"/>
          <w:szCs w:val="20"/>
          <w:color w:val="auto"/>
        </w:rPr>
      </w:pPr>
    </w:p>
    <w:p>
      <w:pPr>
        <w:ind w:left="700" w:right="120" w:firstLine="393"/>
        <w:spacing w:after="0" w:line="256" w:lineRule="auto"/>
        <w:rPr>
          <w:sz w:val="20"/>
          <w:szCs w:val="20"/>
          <w:color w:val="auto"/>
        </w:rPr>
      </w:pPr>
      <w:r>
        <w:rPr>
          <w:rFonts w:ascii="Times New Roman" w:cs="Times New Roman" w:eastAsia="Times New Roman" w:hAnsi="Times New Roman"/>
          <w:sz w:val="16"/>
          <w:szCs w:val="16"/>
          <w:color w:val="auto"/>
        </w:rPr>
        <w:t>We maintain certain insurance policies to safeguard us against risks and unexpected events, including insurance broker/agent practice liability insurance. We provide social security insurance including pension insurance, unemployment insurance, work-related injury insurance, maternity insurance and medical insurance for our employees in compliance with applicable PRC laws. We do not maintain business interruption insurance. We consider our insurance coverage to be sufficient for our business operations in China. However, we cannot assure you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261" w:lineRule="exact"/>
        <w:rPr>
          <w:sz w:val="20"/>
          <w:szCs w:val="20"/>
          <w:color w:val="auto"/>
        </w:rPr>
      </w:pPr>
    </w:p>
    <w:p>
      <w:pPr>
        <w:ind w:left="7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43"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We may from time to time be involved in disputes with various parties involved in the development and sale of our products and services. These disputes may lead to protests or legal or other proceedings and may result in damage to our reputation, substantial costs to our operations, and diversion of our management’s attention. In addition, we may disagree with regulatory bodies in certain aspects in the course of our operations, which may subject us to administrative proceedings and unfavorable decrees that result in liabilities and cause delays to our properly developments. We have been involved in legal proceedings or disputes in the ordinary course of business. In addition, as we change our cooperation model or terminate cooperation with some of our user traffic channels and individual agents to meet regulatory requirements, we cannot assure you that dispute will not arise therefrom or any of these counterparties will not take legal actions against us. We cannot assure you that we will not be involved in any other major legal proceedings in the future. Any involvement on these disputes may materially and adversely affect our business, financial condition and results of operations.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0540"/>
          </w:cols>
          <w:pgMar w:left="320" w:top="447" w:right="10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Failure to renew our current leases or locate desirable alternatives for our facilities could materially and adversely affect our business.</w:t>
      </w:r>
    </w:p>
    <w:p>
      <w:pPr>
        <w:spacing w:after="0" w:line="109" w:lineRule="exact"/>
        <w:rPr>
          <w:sz w:val="20"/>
          <w:szCs w:val="20"/>
          <w:color w:val="auto"/>
        </w:rPr>
      </w:pPr>
    </w:p>
    <w:p>
      <w:pPr>
        <w:ind w:left="700" w:right="60" w:firstLine="393"/>
        <w:spacing w:after="0" w:line="258" w:lineRule="auto"/>
        <w:rPr>
          <w:sz w:val="20"/>
          <w:szCs w:val="20"/>
          <w:color w:val="auto"/>
        </w:rPr>
      </w:pPr>
      <w:r>
        <w:rPr>
          <w:rFonts w:ascii="Times New Roman" w:cs="Times New Roman" w:eastAsia="Times New Roman" w:hAnsi="Times New Roman"/>
          <w:sz w:val="16"/>
          <w:szCs w:val="16"/>
          <w:color w:val="auto"/>
        </w:rPr>
        <w:t>Certain of our lease agreements have not been registered with the relevant PRC government authorities as required by PRC law, which will not affect the validity of these lease agreements but may expose us to potential fines if we fail to remediate after receiving any notice from the relevant PRC government authorities. In case of failure to register or file a lease, the parties to the unregistered lease may be ordered to make rectifications (which would involve registering such leases with the relevant authority) before being subject to penalties. The penalty ranges from RMB1,000 to RMB10,000 for each unregistered lease, the specific amount of which is at the discretion of the relevant authority. As of February 28, 2023, we had not completed lease agreement registration for some properties, which may expose us to potential penalties by relevant PRC governmental authorities.</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If we fail to maintain an effective system of internal control over financial reporting, we may be unable to accurately report our financial results.</w:t>
      </w:r>
    </w:p>
    <w:p>
      <w:pPr>
        <w:spacing w:after="0" w:line="109"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We are subject to reporting obligations under the U.S. securities laws. The SEC, as required under Section 404 of the Sarbanes-Oxley Act of 2002, adopted rules requiring every public company to include a management report on such company’s internal control over financial reporting in its annual report, which contains management’s assessment of the effectiveness of the company’s internal control over financial reporting. We were subject to such requirement starting from fiscal year 2019. In addition, once we cease to be an “emerging growth company,” as such term is defined in the Jumpstart Our Business Startups Act of 2012 (as amended by the Fixing America’s Surface Transportation Act of 2015), or the JOBS Act, an independent registered public accounting firm for a public company must issue an attestation report on the effectiveness of our internal control over financial reporting.</w:t>
      </w:r>
    </w:p>
    <w:p>
      <w:pPr>
        <w:spacing w:after="0" w:line="169"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In the course of preparing our consolidated financial statements for the fiscal year ended December 31, 2022, we identified one material weakness in our internal control over financial reporting as of December 31, 2022. In accordance with reporting requirements set forth by the SEC, a “material weakness” is a deficiency, or a combination of deficiencies, in internal control over financial reporting, such that there is a reasonable possibility that a material misstatement of our company’s annual consolidated financial statements will not be prevented or detected on a timely basis. The material weakness identified relates to lack of sufficient and competent financial reporting and accounting personnel with appropriate knowledge of U.S. GAAP and SEC reporting requirements to formalize key controls over financial reporting and to prepare consolidated financial statements and related disclosures in accordance with U.S. GAAP and SEC financial reporting requirements. As a result of the identification of this material weakness, we have been taking measures to remedy this control deficiency. However, we can give no assurance that the implementation of these measures will be sufficient to eliminate this material weakness or any other material weakness or significant deficiency in our internal control over financial reporting will not be identified in the future. Our failure to implement and maintain effective internal controls over financial reporting could result in errors in our financial statements that could result in a restatement of our financial statements, cause us to fail to meet our reporting obligations and cause investors to lose confidence in our reported financial information, which may result in volatility in and a decline in the market price of the ADSs.</w:t>
      </w:r>
    </w:p>
    <w:p>
      <w:pPr>
        <w:spacing w:after="0" w:line="170"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w:t>
      </w:r>
    </w:p>
    <w:p>
      <w:pPr>
        <w:spacing w:after="0" w:line="169"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0540"/>
          </w:cols>
          <w:pgMar w:left="320" w:top="447" w:right="10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8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have granted and may continue to grant options, restricted share units and other types of awards under our share option plan, which may result in increased share-based compensation expenses.</w:t>
      </w:r>
    </w:p>
    <w:p>
      <w:pPr>
        <w:spacing w:after="0" w:line="43"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We adopted a global share incentive plan in June 2019, which we refer to as the Global Plan, for the purpose of granting share-based compensation awards to employees, directors and consultants to incentivize their performance and align their interests with ours. We recognize expenses in our consolidated financial statements in accordance with U.S. GAAP. Under our Global Plan, we are authorized to grant options, restricted share units and other types of share incentive awards. The maximum aggregate number of common shares which may be issued pursuant to all awards under the Global Plan is 57,501,813 common shares. As of February 28, 2023, 211,130,41 restricted shares and options to purchase a total of 13,513,200 common shares were outstanding under the Global Plan. We adopted a 2019 share incentive plan in June 2019, which we refer to as the 2019 Plan. In September 2021, our board of directors approved the amendment to the 2019 Plan, which we refer to as the Amended and Restated 2019 Plan, to increase the maximum aggregate number of shares that may be issued under the plan from 20,351,945 Class A common shares to 51,703,365 Class A common shares, increased by 31,351,420 Class A common shares. As of February 28, 2023, options to purchase a total of 10,446,528 common shares were outstanding under the Amended and Restated 2019 Plan. 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 We may re-evaluate the vesting schedules, lockup period, exercise price or other key terms applicable to the grants under our currently effective share incentive plans from time to time. If we choose to do so, we may experience substantial change in our share-based compensation charges.</w:t>
      </w: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Our business, financial condition and results of operations have been, and may continue to be, adversely affected by the COVID-19 pandemic.</w:t>
      </w:r>
    </w:p>
    <w:p>
      <w:pPr>
        <w:spacing w:after="0" w:line="109"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Beginning in 2020, outbreaks of COVID-19 resulted in the temporary closure of many corporate offices, retail stores, and manufacturing facilities across China. Normal economic life throughout China was sharply curtailed. We took a series of measures to protect our employees, including temporarily closing our offices, facilitating remote working arrangements for our employees, and canceling business meetings and travels. The operations of our insurer partners and user traffic channels were also impacted. The population in most of the major cities was locked down to a greater or lesser extent at various times and opportunities for discretionary consumption were extremely limited. In particular, our service capacity and operational efficiency was adversely affected by the COVID-19 pandemic due to decreased productivity of our workforce as a result of work from home measures and the necessity to comply with various disease control protocols in our business facilities, particularly in Shenzhen, where our headquarter is located. These events have materially and adversely affected our business since 2020.</w:t>
      </w:r>
    </w:p>
    <w:p>
      <w:pPr>
        <w:spacing w:after="0" w:line="165" w:lineRule="exact"/>
        <w:rPr>
          <w:sz w:val="20"/>
          <w:szCs w:val="20"/>
          <w:color w:val="auto"/>
        </w:rPr>
      </w:pPr>
    </w:p>
    <w:p>
      <w:pPr>
        <w:ind w:left="700" w:right="20" w:firstLine="393"/>
        <w:spacing w:after="0" w:line="255" w:lineRule="auto"/>
        <w:rPr>
          <w:sz w:val="20"/>
          <w:szCs w:val="20"/>
          <w:color w:val="auto"/>
        </w:rPr>
      </w:pPr>
      <w:r>
        <w:rPr>
          <w:rFonts w:ascii="Times New Roman" w:cs="Times New Roman" w:eastAsia="Times New Roman" w:hAnsi="Times New Roman"/>
          <w:sz w:val="16"/>
          <w:szCs w:val="16"/>
          <w:color w:val="auto"/>
        </w:rPr>
        <w:t>China began to modify its zero-COVID policy at the end of 2022, and most of the travel restrictions and quarantine requirements were lifted in December. There were surges of cases in many cities during this time, and there remains uncertainty as to the impact of the virus, especially in light of this change in policy. The extent to which the pandemic impacts our results of operations going forward will depend on future developments which are highly uncertain and unpredictable, including the frequency, duration and extent of outbreaks of COVID-19, the appearance of new variants with different characteristics, the effectiveness of efforts to contain or treat cases, and future actions that may be taken in response to these developments. China may experience lower domestic consumption, higher unemployment, severe disruptions to exporting of goods to other countries and greater economic uncertainty, which may impact our business in a materially negative way. Our financial position, results of operations and cash flows may still be adversely affected to the extent that the COVID-19 pandemic continues to affect the Chinese economy in general. Consequently, the COVID-19 pandemic may continue to materially and adversely affect our business, financial condition and results of operations in the current and future years.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0520"/>
          </w:cols>
          <w:pgMar w:left="320" w:top="447" w:right="10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We face risks related to natural disasters, health epidemics and other outbreaks, which could significantly disrupt our operations.</w:t>
      </w:r>
    </w:p>
    <w:p>
      <w:pPr>
        <w:spacing w:after="0" w:line="109" w:lineRule="exact"/>
        <w:rPr>
          <w:sz w:val="20"/>
          <w:szCs w:val="20"/>
          <w:color w:val="auto"/>
        </w:rPr>
      </w:pPr>
    </w:p>
    <w:p>
      <w:pPr>
        <w:ind w:left="700" w:right="40" w:firstLine="393"/>
        <w:spacing w:after="0" w:line="254" w:lineRule="auto"/>
        <w:rPr>
          <w:sz w:val="20"/>
          <w:szCs w:val="20"/>
          <w:color w:val="auto"/>
        </w:rPr>
      </w:pPr>
      <w:r>
        <w:rPr>
          <w:rFonts w:ascii="Times New Roman" w:cs="Times New Roman" w:eastAsia="Times New Roman" w:hAnsi="Times New Roman"/>
          <w:sz w:val="16"/>
          <w:szCs w:val="16"/>
          <w:color w:val="auto"/>
        </w:rPr>
        <w:t>In addition to the impact of COVID-19, our business could be materially and adversely affected by natural disasters, health epidemics or other public safety concerns affecting the PRC, and particularly Shenzhen. Natural disasters may give rise to server interruptions, breakdowns, system failures, technology platform failures or internet failures, which could cause the loss or corruption of data or malfunctions of software or hardware as well as adversely affect our ability to operate our platform and provide services and solutions. In recent years, there have been outbreaks of epidemics in China and globally, such as COVID-19, H1N1 flu, avian flu or another epidemic. Our business operations could be disrupted by any of these epidemics. In addition, our results of operations could be adversely affected to the extent that any health epidemic harms the Chinese economy in general. A prolonged outbreak of any of these illnesses or other adverse public health developments in China or elsewhere in the world could have a material adverse effect on our business operations. Such outbreaks could significantly impact the insurance industry, which could severely disrupt our operations and adversely affect our business, financial condition and results of operations. Our headquarters are located in Shenzhen, where most of our management and employees currently reside. Most of our system hardware and back-up systems are hosted in facilities located in Shenzhen. Consequently, if any natural disasters, health epidemics or other public safety concerns were to affect Shenzhen, our operation may experience material disruptions, which may materially and adversely affect our business, financial condition and results of operations.</w:t>
      </w:r>
    </w:p>
    <w:p>
      <w:pPr>
        <w:spacing w:after="0" w:line="262" w:lineRule="exact"/>
        <w:rPr>
          <w:sz w:val="20"/>
          <w:szCs w:val="20"/>
          <w:color w:val="auto"/>
        </w:rPr>
      </w:pPr>
    </w:p>
    <w:p>
      <w:pPr>
        <w:ind w:left="700" w:right="1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Our business is subject to fluctuations, which makes our results of operations difficult to predict and may cause our quarterly results of operations to fall short of expectations.</w:t>
      </w:r>
    </w:p>
    <w:p>
      <w:pPr>
        <w:spacing w:after="0" w:line="43"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Our quarterly revenues and other operating results have fluctuated in the past and may continue to fluctuate depending upon a number of factors, many of which are beyond our control. Each of our business lines may have different seasonality factors and the mix of our revenue source may shift from time to time. For life and health insurance products, we generally have more purchase orders in the first quarter of each year. On the other hand, for property &amp; casualty insurance products we offer on our platform, mostly consisted of travel insurance products, we experience more purchase orders in the third quarter, and the first and fourth quarters of each year are the low season for travel insurance products. If the insurance product mix we offer on our platform changes, the fluctuation trend of our results of operations will change accordingly. We may also introduce promotional activities or enhance our marketing and branding efforts in ways that further cause our quarterly results to fluctuate and differ from historical patterns. In addition, our quarterly and annual revenues and costs and expenses as a percentage of our revenues may be significantly different from our historical or projected figures. For these reasons, comparing our operating results on a period-to-period basis may not be meaningful, and you should not rely on our historical results as an indication of our future performance because our fast growth in the past may have masked the seasonality that might otherwise be apparent in our results of operations. Our results of operations in future quarters may fall below expectations, which could cause the price of our ADSs to fall.</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A severe or prolonged downturn in Chinese or global economy could materially and adversely affect our business and financial condition.</w:t>
      </w:r>
    </w:p>
    <w:p>
      <w:pPr>
        <w:spacing w:after="0" w:line="109" w:lineRule="exact"/>
        <w:rPr>
          <w:sz w:val="20"/>
          <w:szCs w:val="20"/>
          <w:color w:val="auto"/>
        </w:rPr>
      </w:pPr>
    </w:p>
    <w:p>
      <w:pPr>
        <w:ind w:left="700" w:right="20" w:firstLine="393"/>
        <w:spacing w:after="0" w:line="255" w:lineRule="auto"/>
        <w:rPr>
          <w:sz w:val="20"/>
          <w:szCs w:val="20"/>
          <w:color w:val="auto"/>
        </w:rPr>
      </w:pPr>
      <w:r>
        <w:rPr>
          <w:rFonts w:ascii="Times New Roman" w:cs="Times New Roman" w:eastAsia="Times New Roman" w:hAnsi="Times New Roman"/>
          <w:sz w:val="16"/>
          <w:szCs w:val="16"/>
          <w:color w:val="auto"/>
        </w:rPr>
        <w:t>COVID-19 has resulted in a severe and negative impact on the Chinese and the global economy since early 2020. Whether this will lead to a prolonged downturn in the economy is still unknown. Even before the outbreak of COVID-19, the global macroeconomic environment was facing numerous challenges, including the US-China trade war, the end of quantitative easing and start of interest rate hike by the U.S. Federal Reserve, the economic slowdown in the Eurozone since 2014 and uncertainties over the impact of Brexit. Over the past few years, the United States and China have been involved in controversy over trade barriers in China that threatened a trade war between the countries and have implemented or proposed to implement tariffs on certain imported products. Sustained tension between the United States and China over trade policies could significantly undermine the stability of the global and Chinese economy. The conflict in Ukraine and the imposition of broad economic sanctions on Russia could raise energy prices and disrupt global markets. There have been concerns over unrest and terrorist threats in the Middle East, Europe and Africa, which have resulted in market volatility in oil and other markets, and over the expansion of terrorist activities into Europe and other regions. There have also been concerns on the relationship between China and other countries, including the surrounding Asian countries, which may potentially have economic effects.</w:t>
      </w:r>
    </w:p>
    <w:p>
      <w:pPr>
        <w:spacing w:after="0" w:line="166" w:lineRule="exact"/>
        <w:rPr>
          <w:sz w:val="20"/>
          <w:szCs w:val="20"/>
          <w:color w:val="auto"/>
        </w:rPr>
      </w:pPr>
    </w:p>
    <w:p>
      <w:pPr>
        <w:ind w:left="700" w:right="80" w:firstLine="393"/>
        <w:spacing w:after="0" w:line="256" w:lineRule="auto"/>
        <w:rPr>
          <w:sz w:val="20"/>
          <w:szCs w:val="20"/>
          <w:color w:val="auto"/>
        </w:rPr>
      </w:pPr>
      <w:r>
        <w:rPr>
          <w:rFonts w:ascii="Times New Roman" w:cs="Times New Roman" w:eastAsia="Times New Roman" w:hAnsi="Times New Roman"/>
          <w:sz w:val="16"/>
          <w:szCs w:val="16"/>
          <w:color w:val="auto"/>
        </w:rPr>
        <w:t>Economic conditions in China are sensitive to global economic conditions, as well as changes in domestic economic and political policies and the expected or perceived overall economic growth rate in China. Our business and operations are primarily based in China and substantially all of our revenues are derived from our operations in China. Accordingly, our financial results have been, and are expected to continue to be, affected by the economy and insurance industry in China. The growth rate of the Chinese economy had gradually slowed down since 2010, and it was further affected by the impact of COVID-19. China had a negative gross domestic product, or GDP growth in the first quarter of 2020, which broke the record of the continued GDP growth in China for the past decades. Any severe or prolonged slowdown in the global or Chinese economy may materially and adversely affect our business, results of operations and financial condition.</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0540"/>
          </w:cols>
          <w:pgMar w:left="320" w:top="447" w:right="10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Risks Relating to Our Corporate Structure</w:t>
      </w:r>
    </w:p>
    <w:p>
      <w:pPr>
        <w:spacing w:after="0" w:line="103" w:lineRule="exact"/>
        <w:rPr>
          <w:sz w:val="20"/>
          <w:szCs w:val="20"/>
          <w:color w:val="auto"/>
        </w:rPr>
      </w:pPr>
    </w:p>
    <w:p>
      <w:pPr>
        <w:ind w:left="70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If the PRC government finds that the agreements that establish the structure for operating certain of our operations in China do not comply with PRC regulations relating to insurance brokerage, insurance agent and the relevant industries, or if these regulations or the interpretation of existing regulations change in the future, we could be subject to severe penalties or be forced to relinquish our interests in those operations.</w:t>
      </w:r>
    </w:p>
    <w:p>
      <w:pPr>
        <w:spacing w:after="0" w:line="58" w:lineRule="exact"/>
        <w:rPr>
          <w:sz w:val="20"/>
          <w:szCs w:val="20"/>
          <w:color w:val="auto"/>
        </w:rPr>
      </w:pPr>
    </w:p>
    <w:p>
      <w:pPr>
        <w:ind w:left="700" w:right="120" w:firstLine="393"/>
        <w:spacing w:after="0" w:line="258" w:lineRule="auto"/>
        <w:rPr>
          <w:sz w:val="20"/>
          <w:szCs w:val="20"/>
          <w:color w:val="auto"/>
        </w:rPr>
      </w:pPr>
      <w:r>
        <w:rPr>
          <w:rFonts w:ascii="Times New Roman" w:cs="Times New Roman" w:eastAsia="Times New Roman" w:hAnsi="Times New Roman"/>
          <w:sz w:val="16"/>
          <w:szCs w:val="16"/>
          <w:color w:val="auto"/>
        </w:rPr>
        <w:t>Due to the PRC legal restrictions on foreign ownership of internet-based business and qualification requirements on foreign investors in the insurance intermediary business, we rely on certain contractual arrangements with the VIE and its shareholders to conduct substantially all of our operations in China. For example, foreign investors are not allowed to own more than 50% of the equity interests in a value-added telecommunications service provider (except for e-commerce, domestic multi-party communication, storage and forwarding classes and call centers) under the Special Administrative Measures for Access of Foreign Investment (Negative List) (2021 Edition), which was promulgated on December 27, 2021, and implemented on January 1, 2022.</w:t>
      </w:r>
    </w:p>
    <w:p>
      <w:pPr>
        <w:spacing w:after="0" w:line="163" w:lineRule="exact"/>
        <w:rPr>
          <w:sz w:val="20"/>
          <w:szCs w:val="20"/>
          <w:color w:val="auto"/>
        </w:rPr>
      </w:pPr>
    </w:p>
    <w:p>
      <w:pPr>
        <w:ind w:left="700" w:right="80" w:firstLine="393"/>
        <w:spacing w:after="0" w:line="256" w:lineRule="auto"/>
        <w:rPr>
          <w:sz w:val="20"/>
          <w:szCs w:val="20"/>
          <w:color w:val="auto"/>
        </w:rPr>
      </w:pPr>
      <w:r>
        <w:rPr>
          <w:rFonts w:ascii="Times New Roman" w:cs="Times New Roman" w:eastAsia="Times New Roman" w:hAnsi="Times New Roman"/>
          <w:sz w:val="16"/>
          <w:szCs w:val="16"/>
          <w:color w:val="auto"/>
        </w:rPr>
        <w:t>We are a Cayman Islands exempted company and our WFOE is considered a foreign-invested enterprise. To comply with PRC laws and regulations, we conduct operations in China through an affiliated PRC entity, Shenzhen Huiye Tianze Investment Holding Co., Ltd., or Huiye Tianze. We have entered into a series of contractual arrangements with Huiye Tianze and its shareholders, which enable us to (i) exercise effective control over Huiye Tianze, (ii) receive substantially all of the economic benefits and bear the obligation to absorb substantially all of the losses of Huiye Tianze, and</w:t>
      </w:r>
    </w:p>
    <w:p>
      <w:pPr>
        <w:spacing w:after="0" w:line="3" w:lineRule="exact"/>
        <w:rPr>
          <w:sz w:val="20"/>
          <w:szCs w:val="20"/>
          <w:color w:val="auto"/>
        </w:rPr>
      </w:pPr>
    </w:p>
    <w:p>
      <w:pPr>
        <w:ind w:left="700" w:right="200" w:firstLine="7"/>
        <w:spacing w:after="0" w:line="255" w:lineRule="auto"/>
        <w:tabs>
          <w:tab w:leader="none" w:pos="98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an exclusive option to purchase all or part of the equity interests in or assets of Huiye Tianze when and to the extent permitted by PRC laws. Because of these contractual arrangements, we are deemed the primary beneficiary of Huiye Tianze and hence consolidate its financial results as a variable interest entity, or VIE, under U.S. GAAP. For a detailed description of these contractual arrangements, see “Item 4. Information on the Company—C. Organizational Structure.”</w:t>
      </w:r>
    </w:p>
    <w:p>
      <w:pPr>
        <w:spacing w:after="0" w:line="166" w:lineRule="exact"/>
        <w:rPr>
          <w:sz w:val="20"/>
          <w:szCs w:val="20"/>
          <w:color w:val="auto"/>
        </w:rPr>
      </w:pPr>
    </w:p>
    <w:p>
      <w:pPr>
        <w:ind w:left="700" w:right="60" w:firstLine="393"/>
        <w:spacing w:after="0" w:line="254" w:lineRule="auto"/>
        <w:rPr>
          <w:sz w:val="20"/>
          <w:szCs w:val="20"/>
          <w:color w:val="auto"/>
        </w:rPr>
      </w:pPr>
      <w:r>
        <w:rPr>
          <w:rFonts w:ascii="Times New Roman" w:cs="Times New Roman" w:eastAsia="Times New Roman" w:hAnsi="Times New Roman"/>
          <w:sz w:val="16"/>
          <w:szCs w:val="16"/>
          <w:color w:val="auto"/>
        </w:rPr>
        <w:t>If the PRC government finds that the agreements that establish the structure for operating our business do not comply with PRC laws and regulations, or if these regulations or their interpretations change in the future, we could be subject to severe penalties or be forced to relinquish our interests in those operations. Our holding company, our PRC subsidiaries, the VIE and investors of our company face uncertainty about potential future actions by the PRC government that could affect the enforceability of the contractual arrangements with the VIE and, consequently, significantly affect the financial performance of the VIE and our company as a whole. In addition, shareholders of the VIE are PRC holding entities of certain pre-IPO shareholders of our company, including entities beneficially owned by Mr. Cunjun Ma, the chairman of our board of directors and our chief executive officer, who owns more than 50% of our total voting power. Therefore, the enforceability of the contractual agreements between us, the VIE and its shareholders depends on whether our shareholders or their PRC holding entities will fulfill these contractual agreements. Their interest in enforcing these contractual agreements may not align with the interests of our other shareholders. If our shareholders who hold equity interests in the VIE through their PRC holding entities were to reduce their interests in our company, their interest may further diverge from that of our company and other shareholders, which may potentially increase the risk that they would seek to act contrary to these contractual arrangements.</w:t>
      </w:r>
    </w:p>
    <w:p>
      <w:pPr>
        <w:spacing w:after="0" w:line="172" w:lineRule="exact"/>
        <w:rPr>
          <w:sz w:val="20"/>
          <w:szCs w:val="20"/>
          <w:color w:val="auto"/>
        </w:rPr>
      </w:pPr>
    </w:p>
    <w:p>
      <w:pPr>
        <w:ind w:left="700" w:right="240" w:firstLine="393"/>
        <w:spacing w:after="0" w:line="267" w:lineRule="auto"/>
        <w:rPr>
          <w:sz w:val="20"/>
          <w:szCs w:val="20"/>
          <w:color w:val="auto"/>
        </w:rPr>
      </w:pPr>
      <w:r>
        <w:rPr>
          <w:rFonts w:ascii="Times New Roman" w:cs="Times New Roman" w:eastAsia="Times New Roman" w:hAnsi="Times New Roman"/>
          <w:sz w:val="16"/>
          <w:szCs w:val="16"/>
          <w:color w:val="auto"/>
        </w:rPr>
        <w:t>It is uncertain whether any new PRC laws or regulations relating to variable interest entity structures will be adopted or if adopted, what they would provide. See “Item 3. Key Information—D. Risk Factors—Risks Relating to Doing Business in China—Uncertainties in the interpretation and enforcement of PRC laws and regulations could limit the legal protections available to you and us.”</w:t>
      </w:r>
    </w:p>
    <w:p>
      <w:pPr>
        <w:spacing w:after="0" w:line="157" w:lineRule="exact"/>
        <w:rPr>
          <w:sz w:val="20"/>
          <w:szCs w:val="20"/>
          <w:color w:val="auto"/>
        </w:rPr>
      </w:pPr>
    </w:p>
    <w:p>
      <w:pPr>
        <w:jc w:val="both"/>
        <w:ind w:left="700" w:firstLine="393"/>
        <w:spacing w:after="0" w:line="267" w:lineRule="auto"/>
        <w:rPr>
          <w:sz w:val="20"/>
          <w:szCs w:val="20"/>
          <w:color w:val="auto"/>
        </w:rPr>
      </w:pPr>
      <w:r>
        <w:rPr>
          <w:rFonts w:ascii="Times New Roman" w:cs="Times New Roman" w:eastAsia="Times New Roman" w:hAnsi="Times New Roman"/>
          <w:sz w:val="16"/>
          <w:szCs w:val="16"/>
          <w:color w:val="auto"/>
        </w:rPr>
        <w:t>If the ownership structure, contractual arrangements and businesses of our PRC subsidiary, the VIE and its subsidiaries are found to be in violation of any existing or future PRC laws or regulations, or our PRC subsidiary, the VIE or its subsidiaries fail to obtain or maintain any of the required permits or approvals, the relevant PRC regulatory authorities would have broad discretion to take action in dealing with such violations or failures, including:</w:t>
      </w:r>
    </w:p>
    <w:p>
      <w:pPr>
        <w:spacing w:after="0" w:line="73" w:lineRule="exact"/>
        <w:rPr>
          <w:sz w:val="20"/>
          <w:szCs w:val="20"/>
          <w:color w:val="auto"/>
        </w:rPr>
      </w:pPr>
    </w:p>
    <w:p>
      <w:pPr>
        <w:ind w:left="5540" w:right="4320" w:hanging="4351"/>
        <w:spacing w:after="0" w:line="457" w:lineRule="auto"/>
        <w:tabs>
          <w:tab w:leader="none" w:pos="157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revoking the business licenses and/or operating licenses of such entities; 46</w:t>
      </w:r>
    </w:p>
    <w:p>
      <w:pPr>
        <w:sectPr>
          <w:pgSz w:w="11900" w:h="16838" w:orient="portrait"/>
          <w:cols w:equalWidth="0" w:num="1">
            <w:col w:w="10540"/>
          </w:cols>
          <w:pgMar w:left="320" w:top="447" w:right="10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1580" w:right="100" w:hanging="391"/>
        <w:spacing w:after="0" w:line="284" w:lineRule="auto"/>
        <w:tabs>
          <w:tab w:leader="none" w:pos="1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shutting down our servers or blocking our website, or discontinuing or placing restrictions or onerous conditions on our operation through any transactions between our WFOE, the VIE and its subsidiaries;</w:t>
      </w:r>
    </w:p>
    <w:p>
      <w:pPr>
        <w:spacing w:after="0" w:line="58" w:lineRule="exact"/>
        <w:rPr>
          <w:rFonts w:ascii="Times New Roman" w:cs="Times New Roman" w:eastAsia="Times New Roman" w:hAnsi="Times New Roman"/>
          <w:sz w:val="16"/>
          <w:szCs w:val="16"/>
          <w:color w:val="auto"/>
        </w:rPr>
      </w:pPr>
    </w:p>
    <w:p>
      <w:pPr>
        <w:ind w:left="1580" w:right="60" w:hanging="391"/>
        <w:spacing w:after="0" w:line="284" w:lineRule="auto"/>
        <w:tabs>
          <w:tab w:leader="none" w:pos="1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imposing fines, confiscating the income from our WFOE, the VIE or its subsidiaries, or imposing other requirements with which we or the VIE may not be able to comply;</w:t>
      </w:r>
    </w:p>
    <w:p>
      <w:pPr>
        <w:spacing w:after="0" w:line="58" w:lineRule="exact"/>
        <w:rPr>
          <w:rFonts w:ascii="Times New Roman" w:cs="Times New Roman" w:eastAsia="Times New Roman" w:hAnsi="Times New Roman"/>
          <w:sz w:val="16"/>
          <w:szCs w:val="16"/>
          <w:color w:val="auto"/>
        </w:rPr>
      </w:pPr>
    </w:p>
    <w:p>
      <w:pPr>
        <w:ind w:left="1580" w:right="200" w:hanging="391"/>
        <w:spacing w:after="0" w:line="267" w:lineRule="auto"/>
        <w:tabs>
          <w:tab w:leader="none" w:pos="1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us to restructure our ownership structure or operations, including terminating the contractual arrangements with the VIE and deregistering the equity pledge of the VIE, which in turn would affect our ability to consolidate, derive economic interests from, or exert effective control over the VIE; or</w:t>
      </w:r>
    </w:p>
    <w:p>
      <w:pPr>
        <w:spacing w:after="0" w:line="72" w:lineRule="exact"/>
        <w:rPr>
          <w:rFonts w:ascii="Times New Roman" w:cs="Times New Roman" w:eastAsia="Times New Roman" w:hAnsi="Times New Roman"/>
          <w:sz w:val="16"/>
          <w:szCs w:val="16"/>
          <w:color w:val="auto"/>
        </w:rPr>
      </w:pPr>
    </w:p>
    <w:p>
      <w:pPr>
        <w:ind w:left="1580" w:right="440" w:hanging="391"/>
        <w:spacing w:after="0" w:line="284" w:lineRule="auto"/>
        <w:tabs>
          <w:tab w:leader="none" w:pos="1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restricting or prohibiting our use of the proceeds from our initial public offering to finance our business and operations in China, and taking other regulatory or enforcement actions that could be harmful to our business.</w:t>
      </w:r>
    </w:p>
    <w:p>
      <w:pPr>
        <w:spacing w:after="0" w:line="143"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Any of these actions could cause significant disruption to our business operations and severely damage our reputation, which would in turn materially and adversely affect our business, financial condition and results of operations. Although we believe we, our WFOE and the VIE comply with current PRC laws and regulations, we cannot assure you that the PRC government would agree that our contractual arrangements comply with PRC licensing, registration or other regulatory requirements, with existing policies or with requirements or policies that may be adopted in the future. The PRC government has broad discretion in determining rectifiable or punitive measures for non-compliance with or violations of PRC laws and regulations. If the PRC government determines that we or the VIE do not comply with applicable law, it could revoke the VIE and its subsidiaries’ business and operating licenses, require the VIE to discontinue or restrict the VIE’ operations, restrict the VIE’s right to collect revenues, require the VIE to restructure our operations, impose additional conditions or requirements with which the VIE may not be able to comply, impose restrictions on the VIE’s business operations or on its customers, or take other regulatory or enforcement actions against the VIE that could be harmful to its business. Any of these or similar occurrences could significantly disrupt our or the VIE’s business operations or restrict the VIE from conducting a substantial portion of its business operations, which could materially and adversely affect the VIE’ business, financial condition and results of operations. If any of these occurrences results in our inability to direct the activities of the VIE that most significantly impact its economic performance, and/or our failure to receive the economic benefits from the VIE, we may not be able to consolidate the entity in our consolidated financial statements in accordance with U.S. GAAP.</w:t>
      </w:r>
    </w:p>
    <w:p>
      <w:pPr>
        <w:spacing w:after="0" w:line="258" w:lineRule="exact"/>
        <w:rPr>
          <w:sz w:val="20"/>
          <w:szCs w:val="20"/>
          <w:color w:val="auto"/>
        </w:rPr>
      </w:pPr>
    </w:p>
    <w:p>
      <w:pPr>
        <w:ind w:left="700" w:right="5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rely on contractual arrangements with the VIE, and its shareholders for our operations in China, which may not be as effective as equity ownership in providing operational control.</w:t>
      </w:r>
    </w:p>
    <w:p>
      <w:pPr>
        <w:spacing w:after="0" w:line="43"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We have relied and expect to continue to rely on variable interest entity arrangements to conduct a significant part of our operations in China. We rely on contractual arrangements with the VIE and its shareholders to conduct a significant part of our operations in China. For a description of these contractual arrangements, see “Item 4. Information on the Company—C. Organizational Structure.” The shareholders of the VIE may not act in the best interests of our company or may not perform their obligations under these contracts. If we had equity ownership of the VIE, we would be able to exercise our rights as a shareholder to effect changes in the board of directors of the VIE, which in turn could implement changes, subject to any applicable fiduciary obligations, at the management and operational level. However, under the contractual arrangements, we would rely on legal remedies under PRC law for breach of contract in the event that the VIE and its shareholders did not perform their obligations under the contracts. These legal remedies may not be as effective as equity ownership in providing us with control over the VIE.</w:t>
      </w:r>
    </w:p>
    <w:p>
      <w:pPr>
        <w:spacing w:after="0" w:line="165"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If the VIE or its shareholders fail to perform their obligations under the contractual arrangements, we may have to incur substantial costs and expend additional resources to enforce such arrangements. 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Uncertainties in the PRC legal system could limit our ability to enforce these contractual arrangements. Meanwhile, based on officially published and publicly available judgements, the legality and validity of VIE contractual arrangements have not been tested in a court of law in the PRC. There are very few precedents as to whether contractual arrangements would be judged to form effective control over the relevant VIE through the contractual arrangements, or how contractual arrangements in the context of a variable interest entity should be interpreted or enforced by the PRC courts. Should legal actions become necessary, we cannot guarantee that the court will rule in favor of the enforceability of the variable interest entity contractual arrangements. In the event we are unable to enforce these contractual arrangements, or if we suffer significant delay or other obstacles in the process of enforcing these contractual arrangements, we may not be able to exert effective control over the VIE, and our ability to conduct our business may be materially adversely affected. See “Item 3. Key Information—D. Risk Factors—Risks Relating to Doing Business in China—Uncertainties in the interpretation and enforcement of PRC laws and regulations could limit the legal protections available to you and us.”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0540"/>
          </w:cols>
          <w:pgMar w:left="320" w:top="447" w:right="10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2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shareholders and directors of the VIE may have potential conflicts of interest with us, and if any such conflicts of interest are not resolved in our favor, our business may be materially and adversely affected.</w:t>
      </w:r>
    </w:p>
    <w:p>
      <w:pPr>
        <w:spacing w:after="0" w:line="43"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The shareholders of the VIE may have potential conflicts of interest with us. These shareholders may breach, or cause the VIE to breach, or refuse to renew, the existing contractual arrangements we have with them and the VIE, which would have a material and adverse effect on our ability to effectively control the VIE and receive economic benefits from it. For example, the shareholders may be able to cause our agreements with the VIE to be performed in a manner adverse to us by, among other things, failing to remit payments due under the contractual arrangements to us on a timely basis. In addition, PRC laws and regulations provide that a director owes a fiduciary duty to the company to which he or she acts as a director. The directors of the VIE, including Mr. Cunjun Ma, our Chief Executive Officer, must act in good faith and in the best interests of the VIE and must not use his position for personal gains. On the other hand, as a director of our company, Mr. Cunjun Ma has a duty of care and loyalty to our company and to our shareholders as a whole under the Cayman Islands law. We control the VIE through contractual arrangements, and the business and operations of the VIE are closely integrated with our subsidiaries’ business and operations. Nevertheless, conflicts of interests for these individuals may arise due to their dual roles both as directors of the VIE and as directors of our company.</w:t>
      </w:r>
    </w:p>
    <w:p>
      <w:pPr>
        <w:spacing w:after="0" w:line="166" w:lineRule="exact"/>
        <w:rPr>
          <w:sz w:val="20"/>
          <w:szCs w:val="20"/>
          <w:color w:val="auto"/>
        </w:rPr>
      </w:pPr>
    </w:p>
    <w:p>
      <w:pPr>
        <w:ind w:left="700" w:right="60" w:firstLine="393"/>
        <w:spacing w:after="0" w:line="259" w:lineRule="auto"/>
        <w:rPr>
          <w:sz w:val="20"/>
          <w:szCs w:val="20"/>
          <w:color w:val="auto"/>
        </w:rPr>
      </w:pPr>
      <w:r>
        <w:rPr>
          <w:rFonts w:ascii="Times New Roman" w:cs="Times New Roman" w:eastAsia="Times New Roman" w:hAnsi="Times New Roman"/>
          <w:sz w:val="16"/>
          <w:szCs w:val="16"/>
          <w:color w:val="auto"/>
        </w:rPr>
        <w:t>We cannot assure you that should any conflicts of interest arise, any or all of the shareholders and directors will act in the best interests of our company or such conflicts will be resolved in our favor. Currently, we do not have any arrangements to address potential conflicts of interest between these shareholders and directors and our company. If we cannot resolve any conflicts of interest or disputes between us and them, we would have to rely on legal proceedings, which could result in disruption of our business and subject us to substantial uncertainty as to the outcome of any such legal proceedings.</w:t>
      </w:r>
    </w:p>
    <w:p>
      <w:pPr>
        <w:spacing w:after="0" w:line="257" w:lineRule="exact"/>
        <w:rPr>
          <w:sz w:val="20"/>
          <w:szCs w:val="20"/>
          <w:color w:val="auto"/>
        </w:rPr>
      </w:pPr>
    </w:p>
    <w:p>
      <w:pPr>
        <w:ind w:left="700" w:right="2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Substantial uncertainties exist with respect to the interpretation and implementation of the newly enacted PRC Foreign Investment Law and its Implementation Regulations and how they may impact the viability of our current corporate structure, corporate governance, business operations and financial results.</w:t>
      </w:r>
    </w:p>
    <w:p>
      <w:pPr>
        <w:spacing w:after="0" w:line="58" w:lineRule="exact"/>
        <w:rPr>
          <w:sz w:val="20"/>
          <w:szCs w:val="20"/>
          <w:color w:val="auto"/>
        </w:rPr>
      </w:pPr>
    </w:p>
    <w:p>
      <w:pPr>
        <w:ind w:left="700" w:right="20" w:firstLine="393"/>
        <w:spacing w:after="0" w:line="253" w:lineRule="auto"/>
        <w:rPr>
          <w:sz w:val="20"/>
          <w:szCs w:val="20"/>
          <w:color w:val="auto"/>
        </w:rPr>
      </w:pPr>
      <w:r>
        <w:rPr>
          <w:rFonts w:ascii="Times New Roman" w:cs="Times New Roman" w:eastAsia="Times New Roman" w:hAnsi="Times New Roman"/>
          <w:sz w:val="16"/>
          <w:szCs w:val="16"/>
          <w:color w:val="auto"/>
        </w:rPr>
        <w:t>On March 15, 2019, the National People’s Congress approved the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For instance, under the Foreign Investment Law, “foreign investment” refers to the investment activities directly or indirectly conducted by foreign individuals, enterprises or other entities in China but it does not explicitly stipulate the contractual arrangements as a form of foreign investment. On December 26, 2019, the State Council promulgated the Implementation Regulations on the Foreign Investment Law, which came into effect on January 1, 2020. However, the Implementation Regulations on the Foreign Investment Law still remains silent on whether contractual arrangements should be deemed as a form of foreign investment. Though these regulations do not explicitly classify contractual arrangements as a form of foreign investment, there is no assurance that foreign investment via contractual arrangements would not be interpreted as a type of foreign investment activities under the definition in the future. In addition, the definition contains a catch-all provision which includes investments made by foreign investors through means stipulated in laws or administrative regulations or other methods prescribed by the State Council. Therefore, the Foreign Investment Law still leaves leeway for future laws, administrative regulations or provisions promulgated by the State Council to provide for contractual arrangements as a form of foreign investment. In any of these cases, it will be uncertain whether our contractual arrangements will be deemed to be in violation of the market access requirements for foreign investment under the PRC laws and regulations.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0540"/>
          </w:cols>
          <w:pgMar w:left="320" w:top="447" w:right="10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Cayman Islands economic substance requirements may have an effect on our business and operations.</w:t>
      </w:r>
    </w:p>
    <w:p>
      <w:pPr>
        <w:spacing w:after="0" w:line="109"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Pursuant to the International Tax Co-operation (Economic Substance) Act (2021 Revision) (as amended) of the Cayman Islands (the “ES Act”), a “relevant entity” that carries on a relevant activity is required to satisfy the economic substance test in relation to that relevant activity set out in the ES Act. A “relevant entity” includes an exempted company incorporated in the Cayman Islands as is our company. Based on the current interpretation of the ES Act, we believe that our company, Huize Holding Limited, is a pure equity holding company since it only holds equity participation in other entities and only earns dividends and capital gains. Accordingly, for so long as our company, Huize Holding Limited, is a “pure equity holding company,” it is only subject to the reduced economic substance test, which require us to (i) comply with all applicable filing requirements under the Companies Act of the Cayman Islands (the “Companies Act”); and (ii) has adequate human resources and adequate premises in the Cayman Islands for holding and managing equity participations in other entities. However, there can be no assurance that we will not be subject to more requirements under the ES Act. Uncertainties over the interpretation and implementation of the ES Act may have an adverse impact on our business and operations.</w:t>
      </w:r>
    </w:p>
    <w:p>
      <w:pPr>
        <w:spacing w:after="0" w:line="261" w:lineRule="exact"/>
        <w:rPr>
          <w:sz w:val="20"/>
          <w:szCs w:val="20"/>
          <w:color w:val="auto"/>
        </w:rPr>
      </w:pPr>
    </w:p>
    <w:p>
      <w:pPr>
        <w:ind w:left="700" w:right="28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Our ability to enforce the equity pledge agreements between us and the shareholders of the VIE may be subject to limitations based on PRC laws and regulations.</w:t>
      </w:r>
    </w:p>
    <w:p>
      <w:pPr>
        <w:spacing w:after="0" w:line="43"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Pursuant to the equity pledge agreements relating to the VIE, shareholders of the VIE pledged their equity interests in the VIE to our WFOE to secure the VIE’s and its shareholders’ performance of the obligations and indebtedness under the Exclusive Business Cooperation Agreement, Exclusive Option and Equity Custody Agreement. As of the date of this annual report, we have registered such equity pledges with the relevant local branch of the State Administration for Market Regulation, or the SAMR. Under the Civil Code of the PRC, when an obligor fails to pay its debt when due, the pledgee may choose to either conclude an agreement with the pledger to obtain the pledged equity or seek payments from the proceeds of the auction or sell-off of the pledged equity. If the VIE fails to perform its obligations secured by the pledges under the equity pledge agreements, one remedy in the event of default under the agreements is to require the pledger to sell the equity interests in the VIE, as applicable, in an auction or private sale and remit the proceeds to our subsidiary in China, net of related taxes and expenses. Such an auction or private sale may not result in our receipt of the full value of the equity interests in the VIE. We consider it very unlikely that the public auction process would be undertaken since, in an event of default, our preferred approach would be to ask our WFOE that is a party to the Exclusive Option and Equity Custody Agreement to designate another PRC person or entity to acquire the equity interests in such VIE and replace the existing shareholders pursuant to the Exclusive Option and Equity Custody Agreement.</w:t>
      </w:r>
    </w:p>
    <w:p>
      <w:pPr>
        <w:spacing w:after="0" w:line="365"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In addition, in the registration forms of the local branch of the SAMR for the pledges over the equity interests under the equity pledge agreements, the amount of registered equity interests pledged to our WFOE shall be designated as a fixed figure. The equity pledge agreements with the shareholders of the VIE provide that the pledged equity interest constitutes continuing security for any and all of the indebtedness, obligations and liabilities of the VIE under the relevant contractual arrangements, and therefore it is possible that the amount of registered equity interests cannot cover the secured obligation as a whole. However, there is no guarantee that a PRC court will not take the position that the amount listed on the equity pledge registration forms represents the full amount of the collateral that has been registered and perfected. If this is the case, the obligations that are supposed to be secured in the equity pledge agreements in excess of the amount listed on the equity pledge registration forms could be determined by the PRC court to be unsecured debt, which takes last priority among creditors and often does not have to be paid back at all. We do not have agreements that pledge the assets of the VIE and its subsidiaries for the benefit of us or our WFOE, although the VIE grants our WFOE options to purchase the assets of the VIE and its equity interests in its subsidiaries under the Exclusive Option and Equity Custody Agreement.</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0540"/>
          </w:cols>
          <w:pgMar w:left="320" w:top="447" w:right="10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2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If the VIE and its subsidiaries becomes the subject of a bankruptcy or liquidation proceeding, we may lose the ability to use and enjoy their assets, which could reduce the size of our operations and materially and adversely affect our business.</w:t>
      </w:r>
    </w:p>
    <w:p>
      <w:pPr>
        <w:spacing w:after="0" w:line="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We do not have priority pledges and liens against the assets of the VIE. If the VIE undergoes an involuntary liquidation proceeding, third-</w:t>
      </w:r>
    </w:p>
    <w:p>
      <w:pPr>
        <w:spacing w:after="0" w:line="25" w:lineRule="exact"/>
        <w:rPr>
          <w:sz w:val="20"/>
          <w:szCs w:val="20"/>
          <w:color w:val="auto"/>
        </w:rPr>
      </w:pPr>
    </w:p>
    <w:p>
      <w:pPr>
        <w:ind w:left="700"/>
        <w:spacing w:after="0" w:line="257" w:lineRule="auto"/>
        <w:rPr>
          <w:sz w:val="20"/>
          <w:szCs w:val="20"/>
          <w:color w:val="auto"/>
        </w:rPr>
      </w:pPr>
      <w:r>
        <w:rPr>
          <w:rFonts w:ascii="Times New Roman" w:cs="Times New Roman" w:eastAsia="Times New Roman" w:hAnsi="Times New Roman"/>
          <w:sz w:val="16"/>
          <w:szCs w:val="16"/>
          <w:color w:val="auto"/>
        </w:rPr>
        <w:t>party creditors may claim rights to some or all of its assets and we may not have priority against such third-party creditors on the assets of the VIE. If the VIE liquidates, we may take part in the liquidation procedures as a general creditor under the PRC Enterprise Bankruptcy Law and recover any outstanding liabilities owed by the VIE to our WFOE under the applicable service agreement.</w:t>
      </w:r>
    </w:p>
    <w:p>
      <w:pPr>
        <w:spacing w:after="0" w:line="164" w:lineRule="exact"/>
        <w:rPr>
          <w:sz w:val="20"/>
          <w:szCs w:val="20"/>
          <w:color w:val="auto"/>
        </w:rPr>
      </w:pPr>
    </w:p>
    <w:p>
      <w:pPr>
        <w:ind w:left="700" w:right="40" w:firstLine="393"/>
        <w:spacing w:after="0" w:line="255" w:lineRule="auto"/>
        <w:rPr>
          <w:sz w:val="20"/>
          <w:szCs w:val="20"/>
          <w:color w:val="auto"/>
        </w:rPr>
      </w:pPr>
      <w:r>
        <w:rPr>
          <w:rFonts w:ascii="Times New Roman" w:cs="Times New Roman" w:eastAsia="Times New Roman" w:hAnsi="Times New Roman"/>
          <w:sz w:val="16"/>
          <w:szCs w:val="16"/>
          <w:color w:val="auto"/>
        </w:rPr>
        <w:t>If the shareholders of the VIE were to attempt to voluntarily liquidate the VIE without obtaining our prior consent, we could effectively prevent such unauthorized voluntary liquidation by exercising our right to request the shareholders of the VIE to transfer all of their respective equity ownership interests to a PRC entity or an individual designated by us in accordance with the option agreement with the shareholders of the VIE. In addition, under the operation agreement signed by our WFOE, the VIE and its shareholders and according to the Civil Code of the PRC, the shareholders of the VIE do not have the right to issue dividends to themselves or otherwise distribute the retained earnings or other assets of the VIE without our consent. In the event that the shareholders of the VIE initiate a voluntary liquidation proceeding without our authorization or attempts to distribute the retained earnings or assets of the VIE without our prior consent, we may need to resort to legal proceedings to enforce the terms of the contractual arrangements. Any such litigation may be costly and may divert our management’s time and attention away from the operation of our business, and the outcome of such litigation will be uncertain.</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Our contractual arrangements with the VIE may result in adverse tax consequences to us.</w:t>
      </w:r>
    </w:p>
    <w:p>
      <w:pPr>
        <w:spacing w:after="0" w:line="109" w:lineRule="exact"/>
        <w:rPr>
          <w:sz w:val="20"/>
          <w:szCs w:val="20"/>
          <w:color w:val="auto"/>
        </w:rPr>
      </w:pPr>
    </w:p>
    <w:p>
      <w:pPr>
        <w:ind w:left="700" w:right="20" w:firstLine="393"/>
        <w:spacing w:after="0" w:line="254" w:lineRule="auto"/>
        <w:rPr>
          <w:sz w:val="20"/>
          <w:szCs w:val="20"/>
          <w:color w:val="auto"/>
        </w:rPr>
      </w:pPr>
      <w:r>
        <w:rPr>
          <w:rFonts w:ascii="Times New Roman" w:cs="Times New Roman" w:eastAsia="Times New Roman" w:hAnsi="Times New Roman"/>
          <w:sz w:val="16"/>
          <w:szCs w:val="16"/>
          <w:color w:val="auto"/>
        </w:rPr>
        <w:t>As a result of our corporate structure and the contractual arrangements among our WFOE, the VIE, its shareholders and us, we are effectively subject to the PRC value-added tax at rates from 3% to 6% and related surcharges on revenues generated by our subsidiary from our contractual arrangements with the VIE. The PRC Enterprise Income Tax Law and its Implementing Regulations require every enterprise in China to submit its annual enterprise income tax return together with a report on transactions with its affiliates or related parties to the relevant tax authorities. According to the Implementing Regulations of the Enterprise Income Tax Law, these transactions may be subject to audit or challenge by the PRC tax authorities within ten years after the taxable year during which the transactions are conducted. We may be subject to adverse tax consequences if the PRC tax authorities were to determine that the contracts between us and the VIE were not on an arm’s length basis and therefore constitute a favorable transfer pricing arrangement. If this occurs, the PRC tax authorities could request that the VIE and any of its subsidiaries adjust their taxable income upward for PRC tax purposes. Such a pricing adjustment could adversely affect us by reducing expense deductions recorded by such VIE and thereby increasing the VIE’s tax liabilities, which could subject the VIE to late fees and other penalties for the underpayment of taxes. Our results of operations may be materially and adversely affected if the VIE’s tax liabilities increase or if either of them becomes subject to late payment fees or other penalties.</w:t>
      </w:r>
    </w:p>
    <w:p>
      <w:pPr>
        <w:spacing w:after="0" w:line="264" w:lineRule="exact"/>
        <w:rPr>
          <w:sz w:val="20"/>
          <w:szCs w:val="20"/>
          <w:color w:val="auto"/>
        </w:rPr>
      </w:pPr>
    </w:p>
    <w:p>
      <w:pPr>
        <w:ind w:left="700" w:right="14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Contractual arrangements we have entered into among our WFOE, the VIE and its shareholders may be subject to scrutiny by the PRC tax authorities and they may determine that we or the VIE and its subsidiaries owe additional taxes, which could substantially reduce our consolidated net profit and the value of your investment.</w:t>
      </w:r>
    </w:p>
    <w:p>
      <w:pPr>
        <w:spacing w:after="0" w:line="58" w:lineRule="exact"/>
        <w:rPr>
          <w:sz w:val="20"/>
          <w:szCs w:val="20"/>
          <w:color w:val="auto"/>
        </w:rPr>
      </w:pPr>
    </w:p>
    <w:p>
      <w:pPr>
        <w:jc w:val="both"/>
        <w:ind w:left="700" w:right="40" w:firstLine="393"/>
        <w:spacing w:after="0" w:line="256" w:lineRule="auto"/>
        <w:rPr>
          <w:sz w:val="20"/>
          <w:szCs w:val="20"/>
          <w:color w:val="auto"/>
        </w:rPr>
      </w:pPr>
      <w:r>
        <w:rPr>
          <w:rFonts w:ascii="Times New Roman" w:cs="Times New Roman" w:eastAsia="Times New Roman" w:hAnsi="Times New Roman"/>
          <w:sz w:val="16"/>
          <w:szCs w:val="16"/>
          <w:color w:val="auto"/>
        </w:rPr>
        <w:t>Under applicable PRC laws and regulations, arrangements and transactions among related parties may be subject to audit or challenge by the PRC tax authorities. We are not able to determine whether the contractual arrangements we have entered into among our WFOE, the VIE and its shareholders will be regarded by the PRC tax authorities as arm’s length transactions. We could face material and adverse tax consequences if the PRC tax authorities determine that the contractual arrangements among our wholly owned subsidiary in China, Zhixuan International Management Consulting (Shenzhen)</w:t>
      </w:r>
    </w:p>
    <w:p>
      <w:pPr>
        <w:spacing w:after="0" w:line="3" w:lineRule="exact"/>
        <w:rPr>
          <w:sz w:val="20"/>
          <w:szCs w:val="20"/>
          <w:color w:val="auto"/>
        </w:rPr>
      </w:pPr>
    </w:p>
    <w:p>
      <w:pPr>
        <w:ind w:left="700" w:right="20"/>
        <w:spacing w:after="0" w:line="253" w:lineRule="auto"/>
        <w:rPr>
          <w:sz w:val="20"/>
          <w:szCs w:val="20"/>
          <w:color w:val="auto"/>
        </w:rPr>
      </w:pPr>
      <w:r>
        <w:rPr>
          <w:rFonts w:ascii="Times New Roman" w:cs="Times New Roman" w:eastAsia="Times New Roman" w:hAnsi="Times New Roman"/>
          <w:sz w:val="16"/>
          <w:szCs w:val="16"/>
          <w:color w:val="auto"/>
        </w:rPr>
        <w:t>Co., Ltd., or our WFOE, the VIE, and the VIE’s shareholders were not entered into on an arm’s length basis or resulted in an impermissible reduction in taxes under applicable PRC laws, rules and regulations, and adjust the VIE’s income in the form of a transfer pricing adjustment. A transfer pricing adjustment could, among other things, result in a reduction, for PRC tax purposes, of expense deductions recorded by the VIE, which could in turn increase their respective tax liabilities. In addition, the PRC tax authorities may impose late fees and other penalties on the VIE for the adjusted but unpaid taxes according to the applicable regulations. Our financial position could be materially and adversely affected if the VIE’s tax liabilities increase or if they are required to pay late fees and other penalties.</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0540"/>
          </w:cols>
          <w:pgMar w:left="320" w:top="447" w:right="10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30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may rely principally on dividends and other distributions on equity paid by our WFOE to fund any cash and financing requirements we may have, and any limitation on the ability of our WFOE to pay dividends to us could have a material adverse effect on our ability to conduct our business.</w:t>
      </w:r>
    </w:p>
    <w:p>
      <w:pPr>
        <w:spacing w:after="0" w:line="58" w:lineRule="exact"/>
        <w:rPr>
          <w:sz w:val="20"/>
          <w:szCs w:val="20"/>
          <w:color w:val="auto"/>
        </w:rPr>
      </w:pPr>
    </w:p>
    <w:p>
      <w:pPr>
        <w:ind w:left="700" w:right="40" w:firstLine="393"/>
        <w:spacing w:after="0" w:line="258" w:lineRule="auto"/>
        <w:rPr>
          <w:sz w:val="20"/>
          <w:szCs w:val="20"/>
          <w:color w:val="auto"/>
        </w:rPr>
      </w:pPr>
      <w:r>
        <w:rPr>
          <w:rFonts w:ascii="Times New Roman" w:cs="Times New Roman" w:eastAsia="Times New Roman" w:hAnsi="Times New Roman"/>
          <w:sz w:val="16"/>
          <w:szCs w:val="16"/>
          <w:color w:val="auto"/>
        </w:rPr>
        <w:t>We are a holding company, and we may rely principally on dividends and other distributions on equity paid by our WFOE, which in turn relies on consulting and other fees paid to us by the VIE, for our cash and financing requirements, including the funds necessary to pay dividends and other cash distributions to our shareholders and service any debt we may incur. If our WFOE incurs debt on its own behalf in the future, the instruments governing the debt may restrict its ability to pay dividends or make other distributions to us. In addition, the PRC tax authorities may require us to adjust our taxable income under the contractual arrangements our WFOE currently has in place with the VIE in a manner that would materially and adversely affect its ability to pay dividends and other distributions to us.</w:t>
      </w:r>
    </w:p>
    <w:p>
      <w:pPr>
        <w:spacing w:after="0" w:line="163" w:lineRule="exact"/>
        <w:rPr>
          <w:sz w:val="20"/>
          <w:szCs w:val="20"/>
          <w:color w:val="auto"/>
        </w:rPr>
      </w:pPr>
    </w:p>
    <w:p>
      <w:pPr>
        <w:ind w:left="700" w:right="80" w:firstLine="393"/>
        <w:spacing w:after="0" w:line="258" w:lineRule="auto"/>
        <w:rPr>
          <w:sz w:val="20"/>
          <w:szCs w:val="20"/>
          <w:color w:val="auto"/>
        </w:rPr>
      </w:pPr>
      <w:r>
        <w:rPr>
          <w:rFonts w:ascii="Times New Roman" w:cs="Times New Roman" w:eastAsia="Times New Roman" w:hAnsi="Times New Roman"/>
          <w:sz w:val="16"/>
          <w:szCs w:val="16"/>
          <w:color w:val="auto"/>
        </w:rPr>
        <w:t>Under PRC laws and regulations, our WFOE, as a wholly foreign-owned enterprise in the PRC, may pay dividends only out of its accumulated profits as determined in accordance with PRC accounting standards and regulations. In addition, a wholly foreign-owned enterprise such as our WFOE is required to set aside at least 10% of its accumulated after-tax profits after making up the previous year’s accumulated losses each year, if any, to fund certain statutory reserve funds, until the aggregate amount of such fund reaches 50% of its registered capital. At its discretion, it may allocate a portion of its after-tax profits based on PRC accounting standards to staff welfare and bonus funds. These reserve funds and staff welfare and bonus funds are not distributable as cash dividends.</w:t>
      </w:r>
    </w:p>
    <w:p>
      <w:pPr>
        <w:spacing w:after="0" w:line="163" w:lineRule="exact"/>
        <w:rPr>
          <w:sz w:val="20"/>
          <w:szCs w:val="20"/>
          <w:color w:val="auto"/>
        </w:rPr>
      </w:pPr>
    </w:p>
    <w:p>
      <w:pPr>
        <w:ind w:left="700" w:right="140" w:firstLine="393"/>
        <w:spacing w:after="0" w:line="284" w:lineRule="auto"/>
        <w:rPr>
          <w:sz w:val="20"/>
          <w:szCs w:val="20"/>
          <w:color w:val="auto"/>
        </w:rPr>
      </w:pPr>
      <w:r>
        <w:rPr>
          <w:rFonts w:ascii="Times New Roman" w:cs="Times New Roman" w:eastAsia="Times New Roman" w:hAnsi="Times New Roman"/>
          <w:sz w:val="16"/>
          <w:szCs w:val="16"/>
          <w:color w:val="auto"/>
        </w:rPr>
        <w:t>Furthermore, if our WFOE and consolidated entities incur debt on their own behalf in the future, the instruments governing the debt may restrict their ability to pay dividends or make other payments to us, which may restrict our ability to satisfy our liquidity requirements.</w:t>
      </w:r>
    </w:p>
    <w:p>
      <w:pPr>
        <w:spacing w:after="0" w:line="143" w:lineRule="exact"/>
        <w:rPr>
          <w:sz w:val="20"/>
          <w:szCs w:val="20"/>
          <w:color w:val="auto"/>
        </w:rPr>
      </w:pPr>
    </w:p>
    <w:p>
      <w:pPr>
        <w:ind w:left="700" w:right="220" w:firstLine="393"/>
        <w:spacing w:after="0" w:line="267" w:lineRule="auto"/>
        <w:rPr>
          <w:sz w:val="20"/>
          <w:szCs w:val="20"/>
          <w:color w:val="auto"/>
        </w:rPr>
      </w:pPr>
      <w:r>
        <w:rPr>
          <w:rFonts w:ascii="Times New Roman" w:cs="Times New Roman" w:eastAsia="Times New Roman" w:hAnsi="Times New Roman"/>
          <w:sz w:val="16"/>
          <w:szCs w:val="16"/>
          <w:color w:val="auto"/>
        </w:rPr>
        <w:t>In addition, the EIT Law and its implementation rules provide that withholding tax rate of 10% will be applicable to dividends payable by PRC companies to non-PRC-resident enterprises unless otherwise exempted or reduced according to treaties or arrangements between the PRC central government and governments of other countries or regions where the non-PRC-resident enterprises are incorporated.</w:t>
      </w:r>
    </w:p>
    <w:p>
      <w:pPr>
        <w:spacing w:after="0" w:line="157" w:lineRule="exact"/>
        <w:rPr>
          <w:sz w:val="20"/>
          <w:szCs w:val="20"/>
          <w:color w:val="auto"/>
        </w:rPr>
      </w:pPr>
    </w:p>
    <w:p>
      <w:pPr>
        <w:ind w:left="700" w:right="60" w:firstLine="393"/>
        <w:spacing w:after="0" w:line="259" w:lineRule="auto"/>
        <w:rPr>
          <w:sz w:val="20"/>
          <w:szCs w:val="20"/>
          <w:color w:val="auto"/>
        </w:rPr>
      </w:pPr>
      <w:r>
        <w:rPr>
          <w:rFonts w:ascii="Times New Roman" w:cs="Times New Roman" w:eastAsia="Times New Roman" w:hAnsi="Times New Roman"/>
          <w:sz w:val="16"/>
          <w:szCs w:val="16"/>
          <w:color w:val="auto"/>
        </w:rPr>
        <w:t>Any limitation on the ability of our WFOE to pay dividends or make other distributions to us could materially and adversely limit our ability to grow, make investments or acquisitions that could be beneficial to our business, pay dividends, or otherwise fund and conduct our business. In addition, there is no assurance that the PRC government will not intervene or impose restrictions on our ability to transfer cash in the future. See also “—Risks Relating to Doing Business in China—The dividends we receive from our WFOE may be subject to PRC tax under the PRC Enterprise Income Tax Law, which would have a material adverse effect on our financial condition and results of operations.”</w:t>
      </w:r>
    </w:p>
    <w:p>
      <w:pPr>
        <w:spacing w:after="0" w:line="257" w:lineRule="exact"/>
        <w:rPr>
          <w:sz w:val="20"/>
          <w:szCs w:val="20"/>
          <w:color w:val="auto"/>
        </w:rPr>
      </w:pPr>
    </w:p>
    <w:p>
      <w:pPr>
        <w:jc w:val="both"/>
        <w:ind w:left="700" w:right="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PRC regulation of loans to and direct investment in PRC entities by offshore holding companies and governmental control of conversion of foreign currencies into Renminbi may delay or prevent us from using the proceeds of our initial public offering to make loans to our WFOE and VIE or to make additional capital contributions to our PRC subsidiaries, which could materially and adversely affect our liquidity and our ability to fund and expand our business.</w:t>
      </w:r>
    </w:p>
    <w:p>
      <w:pPr>
        <w:spacing w:after="0" w:line="62" w:lineRule="exact"/>
        <w:rPr>
          <w:sz w:val="20"/>
          <w:szCs w:val="20"/>
          <w:color w:val="auto"/>
        </w:rPr>
      </w:pPr>
    </w:p>
    <w:p>
      <w:pPr>
        <w:jc w:val="both"/>
        <w:ind w:left="700" w:right="60" w:firstLine="393"/>
        <w:spacing w:after="0" w:line="284" w:lineRule="auto"/>
        <w:rPr>
          <w:sz w:val="20"/>
          <w:szCs w:val="20"/>
          <w:color w:val="auto"/>
        </w:rPr>
      </w:pPr>
      <w:r>
        <w:rPr>
          <w:rFonts w:ascii="Times New Roman" w:cs="Times New Roman" w:eastAsia="Times New Roman" w:hAnsi="Times New Roman"/>
          <w:sz w:val="16"/>
          <w:szCs w:val="16"/>
          <w:color w:val="auto"/>
        </w:rPr>
        <w:t>We are an offshore holding company conducting our operations in China through our WFOE, the VIE and its subsidiaries. We may make loans to our WFOE, the VIE and its subsidiaries, or we may make additional capital contributions to our WFOE.</w:t>
      </w:r>
    </w:p>
    <w:p>
      <w:pPr>
        <w:spacing w:after="0" w:line="143"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Any loans to our WFOE, which are treated as Foreign Investment Enterprises, or FIEs, under PRC law, are subject to PRC regulations and foreign exchange loan registrations. For example, loans by us to our WFOE, the VIE and its subsidiaries to finance their activities cannot exceed statutory limits and must be registered with the local counterpart of the State Administration of Foreign Exchange, or SAFE, or filed with SAFE in its information system. We may also provide loans to the VIE and its subsidiaries or other domestic PRC entities, according to the Circular of the People’s Bank of China on Matters relating to the Comprehensive Macro-prudential Management of Cross-border Financing issued by the People’s Bank of China in January 2017, the Circular of the People’s Bank of China and the State Administration of Foreign Exchange on Adjusting the Macro-prudential Regulation Parameter for Full-covered Cross-border Financing in March 2020, the Circular of the People’s Bank of China and the State Administration of Foreign Exchange on Adjusting Macro-prudential Regulation Parameter for Cross-border Financing of Enterprises in January 2021 and the Circular of the People’s Bank of China and the State Administration of Foreign Exchange on Adjusting Macro-prudential Regulation Parameter for Cross-border Financing in October 2022. The limit for the total amount of foreign debt is 2.5 times of their respective net assets. Moreover, any medium or long-term loan to be provided by us to the VIE and its subsidiaries or other domestic PRC entities must also be subject to examination and registration of the National Development and Reform Commission, or the NDRC. We may also decide to finance our PRC subsidiaries by means of capital contributions. These capital contributions must be recorded with the Ministry of Commerce, or MOFCOM, or its local counterpart.</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10520"/>
          </w:cols>
          <w:pgMar w:left="320" w:top="447" w:right="10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160" w:firstLine="393"/>
        <w:spacing w:after="0" w:line="253" w:lineRule="auto"/>
        <w:rPr>
          <w:sz w:val="20"/>
          <w:szCs w:val="20"/>
          <w:color w:val="auto"/>
        </w:rPr>
      </w:pPr>
      <w:r>
        <w:rPr>
          <w:rFonts w:ascii="Times New Roman" w:cs="Times New Roman" w:eastAsia="Times New Roman" w:hAnsi="Times New Roman"/>
          <w:sz w:val="16"/>
          <w:szCs w:val="16"/>
          <w:color w:val="auto"/>
        </w:rPr>
        <w:t>On March 30, 2015, SAFE issued the Circular of the State Administration of Foreign Exchange on Reforming the Administrative Approach Regarding the Settlement of the Foreign Exchange Capital of Foreign-invested Enterprises, or SAFE Circular 19, which took effect and replaced previous regulations effective on June 1, 2015. Pursuant to SAFE Circular 19, up to 100% of foreign currency capital of a foreign-invested enterprise may be converted into RMB capital according to the actual operation, and within the business scope, of the enterprise at its will. Although SAFE Circular 19 allows for the use of RMB converted from the foreign currency-denominated capital for equity investments in the PRC, the restrictions continue to apply as to FIEs’ use of the converted RMB for purposes beyond the business scope, for entrusted loans or for inter-company RMB loans. On June 9, 2016, SAFE promulgated the Notice of the State Administration of Foreign Exchange on Reforming and Standardizing the Foreign Exchange Settlement Management Policy of Capital Account, or SAFE Circular 16, effective on June 9, 2016, which reiterates some rules set forth in Circular 19, but changes the prohibition against using RMB capital converted from foreign currency-denominated registered capital of a foreign-invested company to issue RMB entrusted loans to a prohibition against using such capital to issue loans to non-affiliated enterprises. On October 23, 2019, the SAFE issued the Notice of the State Administration of Foreign Exchange on Further Facilitating Cross-border Trade and Investment, which, among other things, expanded the use of foreign exchange capital to domestic equity investment area. Non-investment foreign-funded enterprises are allowed to lawfully make domestic equity investments by using their capital on the premise without violation to prevailing special</w:t>
      </w:r>
    </w:p>
    <w:p>
      <w:pPr>
        <w:spacing w:after="0" w:line="1" w:lineRule="exact"/>
        <w:rPr>
          <w:sz w:val="20"/>
          <w:szCs w:val="20"/>
          <w:color w:val="auto"/>
        </w:rPr>
      </w:pPr>
    </w:p>
    <w:p>
      <w:pPr>
        <w:ind w:left="700" w:right="180"/>
        <w:spacing w:after="0" w:line="255" w:lineRule="auto"/>
        <w:rPr>
          <w:sz w:val="20"/>
          <w:szCs w:val="20"/>
          <w:color w:val="auto"/>
        </w:rPr>
      </w:pPr>
      <w:r>
        <w:rPr>
          <w:rFonts w:ascii="Times New Roman" w:cs="Times New Roman" w:eastAsia="Times New Roman" w:hAnsi="Times New Roman"/>
          <w:sz w:val="16"/>
          <w:szCs w:val="16"/>
          <w:color w:val="auto"/>
        </w:rPr>
        <w:t>administrative measures for access of foreign investments (negative list) and the authenticity and compliance with the regulations of domestic investment projects. If the VIE requires financial support from us or our wholly owned subsidiary in the future and we find it necessary to use foreign currency-denominated capital to provide such financial support, our ability to fund the VIE’s operations will be subject to statutory limits and restrictions, including those described above.</w:t>
      </w:r>
    </w:p>
    <w:p>
      <w:pPr>
        <w:spacing w:after="0" w:line="166" w:lineRule="exact"/>
        <w:rPr>
          <w:sz w:val="20"/>
          <w:szCs w:val="20"/>
          <w:color w:val="auto"/>
        </w:rPr>
      </w:pPr>
    </w:p>
    <w:p>
      <w:pPr>
        <w:ind w:left="700" w:right="20" w:firstLine="393"/>
        <w:spacing w:after="0" w:line="258" w:lineRule="auto"/>
        <w:rPr>
          <w:sz w:val="20"/>
          <w:szCs w:val="20"/>
          <w:color w:val="auto"/>
        </w:rPr>
      </w:pPr>
      <w:r>
        <w:rPr>
          <w:rFonts w:ascii="Times New Roman" w:cs="Times New Roman" w:eastAsia="Times New Roman" w:hAnsi="Times New Roman"/>
          <w:sz w:val="16"/>
          <w:szCs w:val="16"/>
          <w:color w:val="auto"/>
        </w:rPr>
        <w:t>In light of the various requirements imposed by PRC regulations on loans to and direct investment in PRC entities by offshore holding companies, including SAFE Circular 19, SAFE Circular 16 and other relevant rules and regulations, we cannot assure you that we will be able to complete the necessary government registrations or obtain the necessary government approvals on a timely basis, if at all, with respect to future loans by us to our WFOE, the VIE or its subsidiaries or with respect to future capital contributions by us to our WFOE. If we fail to complete such registrations or obtain such approvals, our ability to use the proceeds we received from our initial public offering and to capitalize or otherwise fund our PRC operations may be negatively affected, which could materially and adversely affect our liquidity and our ability to fund and expand our business.</w:t>
      </w:r>
    </w:p>
    <w:p>
      <w:pPr>
        <w:spacing w:after="0" w:line="2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Risks Relating to Doing Business in China</w:t>
      </w:r>
    </w:p>
    <w:p>
      <w:pPr>
        <w:spacing w:after="0" w:line="103" w:lineRule="exact"/>
        <w:rPr>
          <w:sz w:val="20"/>
          <w:szCs w:val="20"/>
          <w:color w:val="auto"/>
        </w:rPr>
      </w:pPr>
    </w:p>
    <w:p>
      <w:pPr>
        <w:ind w:left="700" w:right="4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43"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10520"/>
          </w:cols>
          <w:pgMar w:left="320" w:top="447" w:right="10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58" w:lineRule="exact"/>
        <w:rPr>
          <w:sz w:val="20"/>
          <w:szCs w:val="20"/>
          <w:color w:val="auto"/>
        </w:rPr>
      </w:pPr>
    </w:p>
    <w:p>
      <w:pPr>
        <w:jc w:val="both"/>
        <w:ind w:left="700" w:right="300" w:firstLine="393"/>
        <w:spacing w:after="0" w:line="267" w:lineRule="auto"/>
        <w:rPr>
          <w:sz w:val="20"/>
          <w:szCs w:val="20"/>
          <w:color w:val="auto"/>
        </w:rPr>
      </w:pPr>
      <w:r>
        <w:rPr>
          <w:rFonts w:ascii="Times New Roman" w:cs="Times New Roman" w:eastAsia="Times New Roman" w:hAnsi="Times New Roman"/>
          <w:sz w:val="16"/>
          <w:szCs w:val="16"/>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57" w:lineRule="exact"/>
        <w:rPr>
          <w:sz w:val="20"/>
          <w:szCs w:val="20"/>
          <w:color w:val="auto"/>
        </w:rPr>
      </w:pPr>
    </w:p>
    <w:p>
      <w:pPr>
        <w:ind w:left="700" w:right="80" w:firstLine="393"/>
        <w:spacing w:after="0" w:line="258" w:lineRule="auto"/>
        <w:rPr>
          <w:sz w:val="20"/>
          <w:szCs w:val="20"/>
          <w:color w:val="auto"/>
        </w:rPr>
      </w:pPr>
      <w:r>
        <w:rPr>
          <w:rFonts w:ascii="Times New Roman" w:cs="Times New Roman" w:eastAsia="Times New Roman" w:hAnsi="Times New Roman"/>
          <w:sz w:val="16"/>
          <w:szCs w:val="16"/>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do not expect to be identified as a Commission-Identified Issuer under the HFCAA after we file this annual report on Form 20-F for the fiscal year ended December 31, 2022.</w:t>
      </w:r>
    </w:p>
    <w:p>
      <w:pPr>
        <w:spacing w:after="0" w:line="163"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264" w:lineRule="exact"/>
        <w:rPr>
          <w:sz w:val="20"/>
          <w:szCs w:val="20"/>
          <w:color w:val="auto"/>
        </w:rPr>
      </w:pPr>
    </w:p>
    <w:p>
      <w:pPr>
        <w:ind w:left="700" w:right="2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approval of and filing with the CSRC or other PRC government authorities may be required in connection with our offshore offerings under PRC law, and, if required, we cannot predict whether or for how long we will be able to obtain such approval or complete such filing.</w:t>
      </w:r>
    </w:p>
    <w:p>
      <w:pPr>
        <w:spacing w:after="0" w:line="43"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The Regulations on Mergers and Acquisitions of Domestic Enterprises by Foreign Investors, or the M&amp;A Rules, adopted by six PRC regulatory agencies in 2006 and amended in 2009, requires an overseas special purpose vehicle formed for listing purposes through acquisitions of PRC domestic companies and controlled by PRC persons or entities to obtain the approval of the CSRC prior to the listing and trading of such special purpose vehicle’s securities on an overseas stock exchange. The interpretation and application of the regulations remain unclear, and our offshore offerings may ultimately require approval of the CSRC. If the CSRC approval is required, it is uncertain whether we can or how long it will take us to obtain the approval and, even if we obtain such CSRC approval, the approval could be rescinded. Any failure to obtain or delay in obtaining the CSRC approval for any of our offshore offerings, or a rescission of such approval if obtained by us, would subject us to sanctions imposed by the CSRC or other PRC regulatory authorities, which could include fines and penalties on our operations in China, restrictions or limitations on our ability to pay dividends outside of China, and other forms of sanctions that may materially and adversely affect our business, financial condition, and results of operations.</w:t>
      </w:r>
    </w:p>
    <w:p>
      <w:pPr>
        <w:spacing w:after="0" w:line="169" w:lineRule="exact"/>
        <w:rPr>
          <w:sz w:val="20"/>
          <w:szCs w:val="20"/>
          <w:color w:val="auto"/>
        </w:rPr>
      </w:pPr>
    </w:p>
    <w:p>
      <w:pPr>
        <w:ind w:left="700" w:right="100" w:firstLine="393"/>
        <w:spacing w:after="0" w:line="262" w:lineRule="auto"/>
        <w:rPr>
          <w:sz w:val="20"/>
          <w:szCs w:val="20"/>
          <w:color w:val="auto"/>
        </w:rPr>
      </w:pPr>
      <w:r>
        <w:rPr>
          <w:rFonts w:ascii="Times New Roman" w:cs="Times New Roman" w:eastAsia="Times New Roman" w:hAnsi="Times New Roman"/>
          <w:sz w:val="16"/>
          <w:szCs w:val="16"/>
          <w:color w:val="auto"/>
        </w:rPr>
        <w:t>On July 6, 2021, the relevant PRC government authorities issued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0540"/>
          </w:cols>
          <w:pgMar w:left="320" w:top="447" w:right="10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53" w:lineRule="auto"/>
        <w:rPr>
          <w:sz w:val="20"/>
          <w:szCs w:val="20"/>
          <w:color w:val="auto"/>
        </w:rPr>
      </w:pPr>
      <w:r>
        <w:rPr>
          <w:rFonts w:ascii="Times New Roman" w:cs="Times New Roman" w:eastAsia="Times New Roman" w:hAnsi="Times New Roman"/>
          <w:sz w:val="16"/>
          <w:szCs w:val="16"/>
          <w:color w:val="auto"/>
        </w:rPr>
        <w:t>On February 17, 2023, the CSRC issued the Overseas Listing Filing Rules, which became effective on March 31, 2023. According to the Overseas Listing Filing Rules, the overseas offering and listing by a PRC domestic company, whether directly or indirectly, shall be filed with the CSRC. Specifically, the determination of an indirect offering and listing will be conducted on a “substance over form” basis, and an offering and listing shall be considered as an indirect overseas offering and listing by a domestic company if the issuer meets both the following conditions: (i) the operating income, gross profit, total assets, or net assets of the domestic enterprise in the most recent fiscal year, where any index accounts for more than 50% of the relevant line item in the issuer’s audited consolidated financial statement for that year; and (ii) the main links of business activities carried out in mainland China or the main place of business is in mainland China, or the senior management personnel responsible for business operations and management are mostly PRC citizens or are ordinarily resident in mainland China. According to the Overseas Listing Filing Rules, an overseas offering and listing is prohibited under any of the following circumstances: (i) if the intended securities offering and listing is specifically prohibited by national laws and regulations and relevant provisions; (ii) if the intended securities offering and listing may endangers national security as reviewed and determined by competent authorities under the State Council in accordance with law; (iii) if, in the past three years, the domestic enterprise or its controlling shareholders or actual controllers have committed corruption, bribery, embezzlement, misappropriation of property, or other criminal offenses disruptive to the order of the socialist market economy; (iv) if, the domestic enterprise is under investigation according to law for suspected crimes or major violations of laws and regulations, but no clear conclusions have been reached; (v) if there are material ownership disputes over the equity held by the controlling shareholder, or controlled by the controlling shareholder or the actual controller.</w:t>
      </w:r>
    </w:p>
    <w:p>
      <w:pPr>
        <w:spacing w:after="0" w:line="176" w:lineRule="exact"/>
        <w:rPr>
          <w:sz w:val="20"/>
          <w:szCs w:val="20"/>
          <w:color w:val="auto"/>
        </w:rPr>
      </w:pPr>
    </w:p>
    <w:p>
      <w:pPr>
        <w:ind w:left="700" w:right="40" w:firstLine="393"/>
        <w:spacing w:after="0" w:line="254" w:lineRule="auto"/>
        <w:rPr>
          <w:sz w:val="20"/>
          <w:szCs w:val="20"/>
          <w:color w:val="auto"/>
        </w:rPr>
      </w:pPr>
      <w:r>
        <w:rPr>
          <w:rFonts w:ascii="Times New Roman" w:cs="Times New Roman" w:eastAsia="Times New Roman" w:hAnsi="Times New Roman"/>
          <w:sz w:val="16"/>
          <w:szCs w:val="16"/>
          <w:color w:val="auto"/>
        </w:rPr>
        <w:t>According to the Overseas Listing Filing Rules, the issuer or a major domestic operating company designated by the issuer, as the case may be, shall file with the CSRC (i) with respect to its initial public offering and listing within three business days, after its initial filing of the listing application to the regulator in the place of the intended listing, (ii) with respect to its follow-on offering in the same foreign market within three business days after completion of the follow-on offering, (iii) with respect to the assets of a domestic company are directly or indirectly listed overseas through one or more acquisitions, share swap, transfer or other transaction arrangements, the domestic company shall file with the CSRC in accordance with (i), in the case does not involve the submission of application documents abroad, within three business days after the first public announcement of the transaction. Non-compliance with the Overseas Listing Filing Rules or an overseas listing completed in breach of the Overseas Listing Filing Rules may result in a warning on the relevant domestic companies and a fine of RMB1 million to RMB10 million on them. Furthermore, the supervisors directly responsible and other directly responsible persons of the domestic enterprises may be warned, and fined between RMB500,000 to RMB5,000,000. The controlling shareholders or actual controllers of the domestic company organize or instigate the relevant illegal acts, or conceals relevant matters resulting in the illegal acts, may be fined between RMB 1 million to RMB10 million.</w:t>
      </w:r>
    </w:p>
    <w:p>
      <w:pPr>
        <w:spacing w:after="0" w:line="172"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Considering that the Overseas Listing Filing Rules have just been promulgated, there are still uncertainties as to the implementation and interpretation of the requirements, which needs to be further guided and clarified by the CSRC and other regulatory authorities. Any subsequent filing or reporting matters of our company in the future, such as future offshore listings, refinancing and other capital raising activities, as well as other major events, including but not limited to the change of control, investigated or punished by overseas securities regulatory authorities or relevant competent authorities, changing listing status or listing sector, terminating the listing voluntarily or forcibly, and changing our major business activities, may be subject to additional filing or reporting requirements. Given the substantial uncertainties surrounding the latest CSRC filing requirements at this stage, we cannot assure you that we will be able to complete the filings or reporting and fully comply with the relevant new rules and requirements in a timely manner or at all.</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0540"/>
          </w:cols>
          <w:pgMar w:left="320" w:top="447" w:right="10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53" w:lineRule="auto"/>
        <w:rPr>
          <w:sz w:val="20"/>
          <w:szCs w:val="20"/>
          <w:color w:val="auto"/>
        </w:rPr>
      </w:pPr>
      <w:r>
        <w:rPr>
          <w:rFonts w:ascii="Times New Roman" w:cs="Times New Roman" w:eastAsia="Times New Roman" w:hAnsi="Times New Roman"/>
          <w:sz w:val="16"/>
          <w:szCs w:val="16"/>
          <w:color w:val="auto"/>
        </w:rPr>
        <w:t>In addition, we cannot assure you that any new rules or regulations promulgated in the future will not impose additional requirements on us. If it is determined in the future that approval from or filing with the CSRC or other regulatory authorities or other procedures are required for our offshore offerings, it is uncertain whether we can or how long it will take us to obtain such approval or complete such filing procedures and any such approval or filing could be rescinded or rejected. Any failure to obtain or delay in obtaining such approval or completing such filing procedures for our offshore offerings, or a rescission of any such approval or filing if obtained by us, would subject us to sanctions by the CSRC or other PRC regulatory authorities for failure to seek CSRC approval or filing or other government authorization for our offshore offerings.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listed securities. The CSRC 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w:t>
      </w:r>
    </w:p>
    <w:p>
      <w:pPr>
        <w:spacing w:after="0" w:line="267" w:lineRule="exact"/>
        <w:rPr>
          <w:sz w:val="20"/>
          <w:szCs w:val="20"/>
          <w:color w:val="auto"/>
        </w:rPr>
      </w:pPr>
    </w:p>
    <w:p>
      <w:pPr>
        <w:ind w:left="700" w:right="8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PRC government’s significant oversight and discretion over our business operation could result in a material adverse change in our operations and the value of our ADSs.</w:t>
      </w:r>
    </w:p>
    <w:p>
      <w:pPr>
        <w:spacing w:after="0" w:line="43" w:lineRule="exact"/>
        <w:rPr>
          <w:sz w:val="20"/>
          <w:szCs w:val="20"/>
          <w:color w:val="auto"/>
        </w:rPr>
      </w:pPr>
    </w:p>
    <w:p>
      <w:pPr>
        <w:ind w:left="700" w:right="80" w:firstLine="393"/>
        <w:spacing w:after="0" w:line="254" w:lineRule="auto"/>
        <w:rPr>
          <w:sz w:val="20"/>
          <w:szCs w:val="20"/>
          <w:color w:val="auto"/>
        </w:rPr>
      </w:pPr>
      <w:r>
        <w:rPr>
          <w:rFonts w:ascii="Times New Roman" w:cs="Times New Roman" w:eastAsia="Times New Roman" w:hAnsi="Times New Roman"/>
          <w:sz w:val="16"/>
          <w:szCs w:val="16"/>
          <w:color w:val="auto"/>
        </w:rPr>
        <w:t>We conduct our business primarily through the VIE and its subsidiaries in China. Our operations in China are governed by PRC laws and regulations. The PRC government has significant oversight and discretion over the conduct of our business, and it may influence our operations, which could result in a material adverse change in our operation and/or the value of our ADSs. Different regulatory bodies in China have enforced laws and regulations regarding the online insurance product and service industry, and the foreign ownership of and the licensing and permit requirements pertaining to companies in such industries and cybersecurity, the collection and use of Internet user data and unique device identifiers, and other data protection, information security and privacy regulation with various standards and applications. For more details, See “Item 4. Information on the Company—B. Business Overview—Regulation.” In addition, any changes in regulatory environment, whether or not directly targeted at us, may negatively affect the market environment, our business partners and goods and services of business partners, which may in turn have a material adverse effect on our business result of operations and financial conditions. Those legal and regulatory developments could lead to legal and economic uncertainty, affect how we design, market and sell our solutions and services, how we operate our business, and how we process and use data, which could negatively impact demand for our solutions and services.</w:t>
      </w:r>
    </w:p>
    <w:p>
      <w:pPr>
        <w:spacing w:after="0" w:line="172" w:lineRule="exact"/>
        <w:rPr>
          <w:sz w:val="20"/>
          <w:szCs w:val="20"/>
          <w:color w:val="auto"/>
        </w:rPr>
      </w:pPr>
    </w:p>
    <w:p>
      <w:pPr>
        <w:ind w:left="700" w:firstLine="393"/>
        <w:spacing w:after="0" w:line="252" w:lineRule="auto"/>
        <w:rPr>
          <w:sz w:val="20"/>
          <w:szCs w:val="20"/>
          <w:color w:val="auto"/>
        </w:rPr>
      </w:pPr>
      <w:r>
        <w:rPr>
          <w:rFonts w:ascii="Times New Roman" w:cs="Times New Roman" w:eastAsia="Times New Roman" w:hAnsi="Times New Roman"/>
          <w:sz w:val="16"/>
          <w:szCs w:val="16"/>
          <w:color w:val="auto"/>
        </w:rPr>
        <w:t>Also, the PRC government has recently indicated an intent to exert more oversight and control over offerings that are conducted overseas and/or foreign investment in China-based issuers. For example, on July 6, 2021, the relevant PRC government authorities made public the Opinions on Strictly Scrutinizing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On December 28, 2021, the CAC and 12 other governmental authorities jointly issued the Measures, which required that, among others, internet platform operators holding over one million users’ personal information shall apply with the Cybersecurity Review Office for a cybersecurity review before any public offering at a foreign stock exchange. On November 14, 2021, the CAC released the Regulations on the Network Data Security, or the Draft Regulations, for public comments, which stipulates, among others, that a prior cybersecurity review is required for listing abroad of data processors which process over one million users’ personal information, and the listing of data processors in Hong Kong which affects or may affect national security. On February 17, 2023, the CSRC issued the Overseas Listing Filing Rules, which were take effect on March 31, 2023. According to the Overseas Listing Filing Rules, the overseas offering and listing by a PRC domestic company, whether directly or indirectly, shall be filed with the CSRC. Any subsequent filing or reporting matters of our company in the future, such as future offshore listings, refinancing and other capital raising activities, as well as other major events, including but not limited to the change of control, investigated or punished by overseas securities regulatory authorities or relevant competent authorities, changing listing status or listing sector, terminating the listing voluntarily or forcibly, and changing our major business activities, may be subject to additional filing or report requirements. On February 24, 2023, the CSRC and the relevant government authorities released the Provisions on Strengthening Confidentiality and Archives Administration in Respect of Overseas Issuance and Listing of Securities by Domestic Enterprises, or the provisions. Since such regulations, rules and measures and evolving, it remains unclear on how it will be interpreted, amended and implemented by the relevant PRC governmental authorities. We may be unable to obtain such approvals in a timely manner, or at all, and such approvals may be rescinded even if obtained. Any such circumstance could significantly limit or completely hinder our ability to continue to offer securities to investors and cause the value of such securities to significantly decline or become worthless. In addition, implementation of industry-wide regulations directly targeting our operations could cause the value of our securities to significantly decline. Therefore, investors of our company and our business face potential uncertainty from actions taken by the PRC government affecting our business.</w:t>
      </w:r>
    </w:p>
    <w:p>
      <w:pPr>
        <w:spacing w:after="0" w:line="1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10520"/>
          </w:cols>
          <w:pgMar w:left="320" w:top="447" w:right="10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1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Adverse changes in China’s economic, political and social conditions, as well as laws and government policies, may materially and adversely affect our business, financial condition, results of operations and growth prospects.</w:t>
      </w:r>
    </w:p>
    <w:p>
      <w:pPr>
        <w:spacing w:after="0" w:line="43"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We conduct businesses in the PRC, and therefore our financial conditions and results of operations are subject to influences from PRC’s economic, political and social conditions to a great extent. The PRC economy differs from the economies of most developed countries in many aspects, including but not limited to the degree of government involvement, control level of corruption, control of capital investment, reinvestment control of foreign exchange, allocation of resources, growth rate and development level.</w:t>
      </w:r>
    </w:p>
    <w:p>
      <w:pPr>
        <w:spacing w:after="0" w:line="161"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For decades, the PRC government has implemented economic reform measures to utilize market forces in the development of the PRC economy. We cannot predict whether changes in the PRC’s economic, political and social conditions and in its laws, regulations and policies will have any adverse effect on our current or future business, financial condition or results of operations. In addition, many of the economic reforms carried out by the PRC government are unprecedented or experimental and are expected to be refined and improved over time. This refining and improving process may not necessarily have a positive effect on our operations and business development. For example, the PRC government has in the past implemented a number of measures intended to slow down certain segments of the economy, including the real property industry, which the government believed to be overheating. These actions, as well as other actions and policies of the PRC government, could cause a decrease in the overall level of economic activity in the PRC and, in turn, have an adverse impact on our business and financial condition.</w:t>
      </w: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i w:val="1"/>
          <w:iCs w:val="1"/>
          <w:color w:val="auto"/>
        </w:rPr>
        <w:t>Uncertainties in the interpretation and enforcement of PRC laws and regulations could limit the legal protections available to you and us.</w:t>
      </w:r>
    </w:p>
    <w:p>
      <w:pPr>
        <w:spacing w:after="0" w:line="109" w:lineRule="exact"/>
        <w:rPr>
          <w:sz w:val="20"/>
          <w:szCs w:val="20"/>
          <w:color w:val="auto"/>
        </w:rPr>
      </w:pPr>
    </w:p>
    <w:p>
      <w:pPr>
        <w:ind w:left="700" w:right="40" w:firstLine="393"/>
        <w:spacing w:after="0" w:line="267" w:lineRule="auto"/>
        <w:rPr>
          <w:sz w:val="20"/>
          <w:szCs w:val="20"/>
          <w:color w:val="auto"/>
        </w:rPr>
      </w:pPr>
      <w:r>
        <w:rPr>
          <w:rFonts w:ascii="Times New Roman" w:cs="Times New Roman" w:eastAsia="Times New Roman" w:hAnsi="Times New Roman"/>
          <w:sz w:val="16"/>
          <w:szCs w:val="16"/>
          <w:color w:val="auto"/>
        </w:rPr>
        <w:t>The PRC legal system is based on codified statutes and court decisions have limited precedential value. The PRC legal system is evolving rapidly, and the interpretation of many laws, regulations and rules may contain inconsistencies and enforcement of these laws, regulations and rules involves uncertainties.</w:t>
      </w:r>
    </w:p>
    <w:p>
      <w:pPr>
        <w:spacing w:after="0" w:line="157" w:lineRule="exact"/>
        <w:rPr>
          <w:sz w:val="20"/>
          <w:szCs w:val="20"/>
          <w:color w:val="auto"/>
        </w:rPr>
      </w:pPr>
    </w:p>
    <w:p>
      <w:pPr>
        <w:ind w:left="700" w:right="80" w:firstLine="393"/>
        <w:spacing w:after="0" w:line="258" w:lineRule="auto"/>
        <w:rPr>
          <w:sz w:val="20"/>
          <w:szCs w:val="20"/>
          <w:color w:val="auto"/>
        </w:rPr>
      </w:pPr>
      <w:r>
        <w:rPr>
          <w:rFonts w:ascii="Times New Roman" w:cs="Times New Roman" w:eastAsia="Times New Roman" w:hAnsi="Times New Roman"/>
          <w:sz w:val="16"/>
          <w:szCs w:val="16"/>
          <w:color w:val="auto"/>
        </w:rPr>
        <w:t>From time to time, we may have to resort to administrative and court proceedings to enforce our legal rights. However, since PRC judicial and administrative authorities have significant discretion in interpreting and implementing statutory provisions and contractual terms, it may be difficult to predict the outcome of a judicial or administrative proceeding. Furthermore, the PRC legal system is based, in part, on government policies and internal rules, some of which are not published in a timely manner, or at all, but which may have retroactive effects. As a result, we may not always be aware of any potential violation of these policies and rules. Such unpredictability towards our contractual, property (including intellectual property) and procedural rights could adversely affect our business and impede our ability to continue our operations.</w:t>
      </w:r>
    </w:p>
    <w:p>
      <w:pPr>
        <w:spacing w:after="0" w:line="163" w:lineRule="exact"/>
        <w:rPr>
          <w:sz w:val="20"/>
          <w:szCs w:val="20"/>
          <w:color w:val="auto"/>
        </w:rPr>
      </w:pPr>
    </w:p>
    <w:p>
      <w:pPr>
        <w:ind w:left="700" w:right="180" w:firstLine="393"/>
        <w:spacing w:after="0" w:line="267" w:lineRule="auto"/>
        <w:rPr>
          <w:sz w:val="20"/>
          <w:szCs w:val="20"/>
          <w:color w:val="auto"/>
        </w:rPr>
      </w:pPr>
      <w:r>
        <w:rPr>
          <w:rFonts w:ascii="Times New Roman" w:cs="Times New Roman" w:eastAsia="Times New Roman" w:hAnsi="Times New Roman"/>
          <w:sz w:val="16"/>
          <w:szCs w:val="16"/>
          <w:color w:val="auto"/>
        </w:rPr>
        <w:t>PRC government has significant oversight over the conduct of our business and it has recently indicated an intent to exert more oversight over offerings that are conducted overseas and/or foreign investment in China-based issuers. Any such action could significantly limit or completely hinder our ability to offer or continue to offer securities to investors and cause the value of such securities to significantly decline or become worthless.</w:t>
      </w:r>
    </w:p>
    <w:p>
      <w:pPr>
        <w:spacing w:after="0" w:line="250" w:lineRule="exact"/>
        <w:rPr>
          <w:sz w:val="20"/>
          <w:szCs w:val="20"/>
          <w:color w:val="auto"/>
        </w:rPr>
      </w:pPr>
    </w:p>
    <w:p>
      <w:pPr>
        <w:ind w:left="700" w:right="24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may be adversely affected by the complexity, uncertainties and changes in PRC regulations of internet-related businesses and companies, and any lack of requisite approvals, licenses or permits applicable to our business may have a material adverse effect on our business and results of operations.</w:t>
      </w:r>
    </w:p>
    <w:p>
      <w:pPr>
        <w:spacing w:after="0" w:line="58" w:lineRule="exact"/>
        <w:rPr>
          <w:sz w:val="20"/>
          <w:szCs w:val="20"/>
          <w:color w:val="auto"/>
        </w:rPr>
      </w:pPr>
    </w:p>
    <w:p>
      <w:pPr>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The PRC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10540"/>
          </w:cols>
          <w:pgMar w:left="320" w:top="447" w:right="10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We only have contractual control over our website and mobile app platform. We do not directly own the website and mobile app platform due to the restriction of foreign investment in businesses providing value-added telecommunications services in China, including internet information provision services. This may significantly disrupt our business, subject us to sanctions, compromise enforceability of related contractual arrangements, or have other harmful effects on us.</w:t>
      </w:r>
    </w:p>
    <w:p>
      <w:pPr>
        <w:spacing w:after="0" w:line="161" w:lineRule="exact"/>
        <w:rPr>
          <w:sz w:val="20"/>
          <w:szCs w:val="20"/>
          <w:color w:val="auto"/>
        </w:rPr>
      </w:pPr>
    </w:p>
    <w:p>
      <w:pPr>
        <w:ind w:left="700" w:right="160" w:firstLine="393"/>
        <w:spacing w:after="0" w:line="256" w:lineRule="auto"/>
        <w:rPr>
          <w:sz w:val="20"/>
          <w:szCs w:val="20"/>
          <w:color w:val="auto"/>
        </w:rPr>
      </w:pPr>
      <w:r>
        <w:rPr>
          <w:rFonts w:ascii="Times New Roman" w:cs="Times New Roman" w:eastAsia="Times New Roman" w:hAnsi="Times New Roman"/>
          <w:sz w:val="16"/>
          <w:szCs w:val="16"/>
          <w:color w:val="auto"/>
        </w:rPr>
        <w:t>The evolving PRC regulatory system for the internet industry may lead to the establishment of new regulatory agencies. For example, in March 2018, the State Council announced the establishment of a new department, the Office of the Central Cyberspace Affairs Commission, (with the involvement of the State Council Information Office, the Ministry of Industry and Information Technology, or the MIIT, and the Ministry of Public Security). The primary role of this new agency is to facilitate the policy-making and legislative development in this field, to direct and coordinate with the relevant departments in connection with online content administration and to deal with cross-ministry regulatory matters in relation to the internet industry, and the National Computer Network and Information Security Management Center was adjusted to be managed by the Office of the Central Cyberspace Affairs Commission Office instead of the MIIT.</w:t>
      </w:r>
    </w:p>
    <w:p>
      <w:pPr>
        <w:spacing w:after="0" w:line="169" w:lineRule="exact"/>
        <w:rPr>
          <w:sz w:val="20"/>
          <w:szCs w:val="20"/>
          <w:color w:val="auto"/>
        </w:rPr>
      </w:pPr>
    </w:p>
    <w:p>
      <w:pPr>
        <w:ind w:left="700" w:right="200" w:firstLine="393"/>
        <w:spacing w:after="0" w:line="256" w:lineRule="auto"/>
        <w:rPr>
          <w:sz w:val="20"/>
          <w:szCs w:val="20"/>
          <w:color w:val="auto"/>
        </w:rPr>
      </w:pPr>
      <w:r>
        <w:rPr>
          <w:rFonts w:ascii="Times New Roman" w:cs="Times New Roman" w:eastAsia="Times New Roman" w:hAnsi="Times New Roman"/>
          <w:sz w:val="16"/>
          <w:szCs w:val="16"/>
          <w:color w:val="auto"/>
        </w:rPr>
        <w:t>The interpretation and application of existing PRC laws, regulations and policies and possible new laws, regulations or policies relating to the internet industry have created substantial uncertainties regarding the legality of existing and future foreign investments in, and the businesses and activities of, internet businesses in China, including our business. We cannot assure you that we have obtained all the permits or licenses required for conducting our business in China or will be able to maintain our existing licenses or obtain new ones. If the PRC government considers that we were operating without the proper approvals, licenses or permits or promulgates new laws and regulations that require additional approvals or licenses or imposes additional restrictions on the operation of any part of our business, it has the power, among other things, to levy fines, confiscate our income, revoke our business licenses, and require us to discontinue our relevant business or impose restrictions on the affected portion of our business. Any of these actions by the PRC government may have a material adverse effect on our reputation, business and results of operations.</w:t>
      </w:r>
    </w:p>
    <w:p>
      <w:pPr>
        <w:spacing w:after="0" w:line="258" w:lineRule="exact"/>
        <w:rPr>
          <w:sz w:val="20"/>
          <w:szCs w:val="20"/>
          <w:color w:val="auto"/>
        </w:rPr>
      </w:pPr>
    </w:p>
    <w:p>
      <w:pPr>
        <w:ind w:left="700" w:right="18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face uncertainties with respect to the enactment, interpretation and implementation of the Anti-Monopoly Guidelines for the Internet Platform Economy Sector.</w:t>
      </w:r>
    </w:p>
    <w:p>
      <w:pPr>
        <w:spacing w:after="0" w:line="43"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On February 7, 2021, Anti-monopoly Commission of the State Council published the Anti-Monopoly Guidelines for the Internet Platform Economy Sector that aims at specifying some of the circumstances under which an activity of Internet platform may be identified as monopolistic act as well as setting out merger controlling filing procedures involving variable interest entity, which became effective on the same day. Due to the uncertainties associated with the evolving legislative activities and varied local implementation practices of anti-monopoly and competition laws and regulations in the PRC, it may be costly to adjust some of our business practice in order to comply with these laws, regulations, rules, guidelines and implementations, and any noncompliance or associated inquiries, investigations and other governmental actions may divert significant management time and attention and our financial resources, bring negative publicity, subject us to liabilities or administrative penalties, and/or materially and adversely affect our financial conditions, operations and business prospects.</w:t>
      </w:r>
    </w:p>
    <w:p>
      <w:pPr>
        <w:spacing w:after="0" w:line="258" w:lineRule="exact"/>
        <w:rPr>
          <w:sz w:val="20"/>
          <w:szCs w:val="20"/>
          <w:color w:val="auto"/>
        </w:rPr>
      </w:pPr>
    </w:p>
    <w:p>
      <w:pPr>
        <w:ind w:left="700" w:right="1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Government control of currency conversion and future fluctuation of Renminbi exchange rates could have a material adverse effect on our results of operations and financial condition, and may reduce the value of, and dividends payable on, our Shares in foreign currency terms.</w:t>
      </w:r>
    </w:p>
    <w:p>
      <w:pPr>
        <w:spacing w:after="0" w:line="43" w:lineRule="exact"/>
        <w:rPr>
          <w:sz w:val="20"/>
          <w:szCs w:val="20"/>
          <w:color w:val="auto"/>
        </w:rPr>
      </w:pPr>
    </w:p>
    <w:p>
      <w:pPr>
        <w:jc w:val="both"/>
        <w:ind w:left="700" w:right="40" w:firstLine="393"/>
        <w:spacing w:after="0" w:line="267" w:lineRule="auto"/>
        <w:rPr>
          <w:sz w:val="20"/>
          <w:szCs w:val="20"/>
          <w:color w:val="auto"/>
        </w:rPr>
      </w:pPr>
      <w:r>
        <w:rPr>
          <w:rFonts w:ascii="Times New Roman" w:cs="Times New Roman" w:eastAsia="Times New Roman" w:hAnsi="Times New Roman"/>
          <w:sz w:val="16"/>
          <w:szCs w:val="16"/>
          <w:color w:val="auto"/>
        </w:rPr>
        <w:t>Substantially all our income, costs and expenses are denominated in Renminbi, which is not currently a completely freely convertible currency. A portion of these income must be converted into other currencies to meet our foreign currency obligations, including our payments of declared dividends, if any, for our Shares.</w:t>
      </w:r>
    </w:p>
    <w:p>
      <w:pPr>
        <w:spacing w:after="0" w:line="157" w:lineRule="exact"/>
        <w:rPr>
          <w:sz w:val="20"/>
          <w:szCs w:val="20"/>
          <w:color w:val="auto"/>
        </w:rPr>
      </w:pPr>
    </w:p>
    <w:p>
      <w:pPr>
        <w:ind w:left="700" w:right="120" w:firstLine="393"/>
        <w:spacing w:after="0" w:line="255" w:lineRule="auto"/>
        <w:rPr>
          <w:sz w:val="20"/>
          <w:szCs w:val="20"/>
          <w:color w:val="auto"/>
        </w:rPr>
      </w:pPr>
      <w:r>
        <w:rPr>
          <w:rFonts w:ascii="Times New Roman" w:cs="Times New Roman" w:eastAsia="Times New Roman" w:hAnsi="Times New Roman"/>
          <w:sz w:val="16"/>
          <w:szCs w:val="16"/>
          <w:color w:val="auto"/>
        </w:rPr>
        <w:t>Under the PRC’s existing foreign exchange regulations, by complying with certain procedural requirements, we will be able to undertake current account foreign exchange transactions, including payment of dividends in foreign currencies without prior approval from the State Administration of Foreign Exchange. However, the PRC government may take measures at its discretion in the future to restrict access to foreign currencies for capital account and current account transactions under certain circumstances. We may not be able to pay dividends in foreign currencies to our Shareholders if the PRC government restricts access to foreign currencies for current account transactions. Under existing PRC foreign exchange regulations, conversion of Renminbi is permitted, without prior approval from the SAFE, for current account transactions, including profit distributions, interest payments and expenditures from trade-related transactions, as long as certain procedural requirements are complied with. However, approval from and registration with the SAFE and other PRC regulatory authorities are required where Renminbi is to be converted into foreign currency and remitted out of China for capital account transactions, which includes foreign direct investment and repayment of loans denominated in foreign currencies. These limitations could affect our ability to obtain foreign exchange through equity financing, or to obtain foreign exchange for capital expenditures.</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0540"/>
          </w:cols>
          <w:pgMar w:left="320" w:top="447" w:right="10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40" w:firstLine="393"/>
        <w:spacing w:after="0" w:line="259" w:lineRule="auto"/>
        <w:rPr>
          <w:sz w:val="20"/>
          <w:szCs w:val="20"/>
          <w:color w:val="auto"/>
        </w:rPr>
      </w:pPr>
      <w:r>
        <w:rPr>
          <w:rFonts w:ascii="Times New Roman" w:cs="Times New Roman" w:eastAsia="Times New Roman" w:hAnsi="Times New Roman"/>
          <w:sz w:val="16"/>
          <w:szCs w:val="16"/>
          <w:color w:val="auto"/>
        </w:rPr>
        <w:t>The value of Renminbi against the HK dollar, the U.S. dollar and other currencies fluctuate, subject to change resulting from the PRC government’s policies, and depends to a large extent on domestic and international economic and political developments as well as supply and demand in the local market. It is difficult to predict how market forces or government policies may impact the exchange rate between the Renminbi and the HK dollar, the U.S. dollar or other currencies in the future. In addition, the PBOC regularly intervenes in the foreign exchange market to limit fluctuations in Renminbi exchange rates and achieve policy goals.</w:t>
      </w:r>
    </w:p>
    <w:p>
      <w:pPr>
        <w:spacing w:after="0" w:line="164" w:lineRule="exact"/>
        <w:rPr>
          <w:sz w:val="20"/>
          <w:szCs w:val="20"/>
          <w:color w:val="auto"/>
        </w:rPr>
      </w:pPr>
    </w:p>
    <w:p>
      <w:pPr>
        <w:ind w:left="700" w:right="40" w:firstLine="393"/>
        <w:spacing w:after="0" w:line="259" w:lineRule="auto"/>
        <w:rPr>
          <w:sz w:val="20"/>
          <w:szCs w:val="20"/>
          <w:color w:val="auto"/>
        </w:rPr>
      </w:pPr>
      <w:r>
        <w:rPr>
          <w:rFonts w:ascii="Times New Roman" w:cs="Times New Roman" w:eastAsia="Times New Roman" w:hAnsi="Times New Roman"/>
          <w:sz w:val="16"/>
          <w:szCs w:val="16"/>
          <w:color w:val="auto"/>
        </w:rPr>
        <w:t>Furthermore, the net proceeds from our initial public offering are deposited overseas in currencies other than Renminbi until we obtain necessary approvals from relevant PRC regulatory authorities to convert these proceeds into onshore Renminbi. If the net proceeds cannot be converted into onshore Renminbi in a timely manner, our ability to deploy these proceeds efficiently may be affected, as we will not be able to invest these proceeds on RMB-denominated assets onshore or deploy them in uses onshore where Renminbi is required, which may adversely affect our business, results of operations and financial condition.</w:t>
      </w:r>
    </w:p>
    <w:p>
      <w:pPr>
        <w:spacing w:after="0" w:line="257" w:lineRule="exact"/>
        <w:rPr>
          <w:sz w:val="20"/>
          <w:szCs w:val="20"/>
          <w:color w:val="auto"/>
        </w:rPr>
      </w:pPr>
    </w:p>
    <w:p>
      <w:pPr>
        <w:ind w:left="700" w:right="3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You may experience difficulties in effecting service of legal process, enforcing foreign judgments or bringing actions in China against us or our directors and management named in the annual report based on foreign laws.</w:t>
      </w:r>
    </w:p>
    <w:p>
      <w:pPr>
        <w:spacing w:after="0" w:line="43" w:lineRule="exact"/>
        <w:rPr>
          <w:sz w:val="20"/>
          <w:szCs w:val="20"/>
          <w:color w:val="auto"/>
        </w:rPr>
      </w:pPr>
    </w:p>
    <w:p>
      <w:pPr>
        <w:ind w:left="700" w:right="60" w:firstLine="393"/>
        <w:spacing w:after="0" w:line="255" w:lineRule="auto"/>
        <w:rPr>
          <w:sz w:val="20"/>
          <w:szCs w:val="20"/>
          <w:color w:val="auto"/>
        </w:rPr>
      </w:pPr>
      <w:r>
        <w:rPr>
          <w:rFonts w:ascii="Times New Roman" w:cs="Times New Roman" w:eastAsia="Times New Roman" w:hAnsi="Times New Roman"/>
          <w:sz w:val="16"/>
          <w:szCs w:val="16"/>
          <w:color w:val="auto"/>
        </w:rPr>
        <w:t>We are an exempted company incorporated under the laws of the Cayman Islands, we conduct substantially all of our operations in China and substantially all of our assets are located in China. In addition, all our senior executive officers reside within China for a significant portion of the time and most of them are PRC nationals. As a result, it may be difficult for you to effect service of process upon us or those persons inside mainland China. It may also be difficult for you to enforce in U.S. courts judgments obtained in U.S. courts based on the civil liability provisions of the U.S. federal securities laws against us and our officers and directors as none of them currently resides in the United States or has substantial assets located in the United States. In addition, there is uncertainty as to whether the courts of the Cayman Islands or the PRC would recognize or enforce judgments of U.S. courts against us or such persons predicated upon the civil liability provisions of the securities laws of the United States or any state. Due to jurisdictional limitations, matters of comity and various other factors, the SEC, U.S. Department of Justice and other U.S. authorities may also experience difficulties in bringing and enforcing actions against us or our directors and officers, including in instances of fraud or other wrongdoing.</w:t>
      </w:r>
    </w:p>
    <w:p>
      <w:pPr>
        <w:spacing w:after="0" w:line="169"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spacing w:after="0" w:line="169"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In addition, shareholder claims that are common in the United States, including class action securities law and fraud claims, may be difficult to pursue as a matter of law or practicality in China. Under the PRC Civil Procedures Law, foreign shareholders may originate actions based on PRC law against a company in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however, difficult for U.S. shareholders to originate actions against us in the PRC in accordance with PRC laws because we are incorporated under the laws of the Cayman Islands and it will be difficult for U.S. shareholders, by virtue only of holding the ADSs or our common shares, to establish a connection to the PRC for a PRC court to have jurisdiction as required under the PRC Civil Procedures Law.</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0540"/>
          </w:cols>
          <w:pgMar w:left="320" w:top="447" w:right="10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53" w:lineRule="auto"/>
        <w:rPr>
          <w:sz w:val="20"/>
          <w:szCs w:val="20"/>
          <w:color w:val="auto"/>
        </w:rPr>
      </w:pPr>
      <w:r>
        <w:rPr>
          <w:rFonts w:ascii="Times New Roman" w:cs="Times New Roman" w:eastAsia="Times New Roman" w:hAnsi="Times New Roman"/>
          <w:sz w:val="16"/>
          <w:szCs w:val="16"/>
          <w:color w:val="auto"/>
        </w:rPr>
        <w:t>On July 14, 2006, the Supreme People’s Court of China and the Government of the Hong Kong Special Administrative Region signed an Arrangement on Reciprocal Recognition and Enforcement of Judgments in Civil and Commercial Matters, or the 2006 Arrangement. Under such arrangement, where any designated People’s Court or any designated Hong Kong court has made an enforceable final judgment requiring payment of money in a civil and commercial case pursuant to a choice of court agreement, any party concerned may apply to the relevant People’s Court or Hong Kong court for recognition and enforcement of the judgment. On January 18, 2019, the Supreme Court of the People’s Republic of China and the Department of Justice under the Government of the Hong Kong Special Administrative Region signed the Arrangement on Reciprocal Recognition and Enforcement of Judgments in Civil and Commercial Matters by the Courts of the Mainland and of the Hong Kong Special Administrative Region, or the 2019 Arrangement. The 2019 Arrangement, for the reciprocal recognition and enforcement of judgments in civil and commercial matters between the courts in mainland China and those in the Hong Kong Special Administrative Region, stipulates the scope and particulars of judgments, the procedures and ways of the application for recognition or enforcement, the review of the jurisdiction of the court that issued the original judgment, the circumstances where the recognition and enforcement of a judgment shall be refused, and the approaches towards remedies, among others. After a judicial interpretation has been promulgated by the Supreme People’s Court and the relevant procedures have been completed by the Hong Kong Special Administrative Region, both sides shall announce a date on which the 2019 Arrangement shall come into effect. The 2019 Arrangement shall apply to any judgment made on or after its effective date by the courts of both sides. The 2006 Arrangement shall be terminated on the same day when the 2019 Arrangement comes into effect. If a “written choice of court agreement” has been signed by parties according to the 2006 Arrangement prior to the effective date of the 2019 Arrangement, the 2006 Arrangement shall still apply. Although the 2019 Arrangement has been signed, its effective date has yet to be announced. Therefore, there are still uncertainties about the outcomes and effectiveness of enforcement or recognition of judgments under the 2019 Arrangement.</w:t>
      </w:r>
    </w:p>
    <w:p>
      <w:pPr>
        <w:spacing w:after="0" w:line="2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exchange rates could have a material adverse effect on our results of operations and the value of your investment.</w:t>
      </w:r>
    </w:p>
    <w:p>
      <w:pPr>
        <w:spacing w:after="0" w:line="109" w:lineRule="exact"/>
        <w:rPr>
          <w:sz w:val="20"/>
          <w:szCs w:val="20"/>
          <w:color w:val="auto"/>
        </w:rPr>
      </w:pPr>
    </w:p>
    <w:p>
      <w:pPr>
        <w:ind w:left="700" w:right="120" w:firstLine="393"/>
        <w:spacing w:after="0" w:line="262" w:lineRule="auto"/>
        <w:rPr>
          <w:sz w:val="20"/>
          <w:szCs w:val="20"/>
          <w:color w:val="auto"/>
        </w:rPr>
      </w:pPr>
      <w:r>
        <w:rPr>
          <w:rFonts w:ascii="Times New Roman" w:cs="Times New Roman" w:eastAsia="Times New Roman" w:hAnsi="Times New Roman"/>
          <w:sz w:val="16"/>
          <w:szCs w:val="16"/>
          <w:color w:val="auto"/>
        </w:rPr>
        <w:t>The value of Renminbi against the U.S. dollar and other currencies is affected by changes in China’s political and economic conditions and by China’s foreign exchange policies, among other things. Since June 2010, Renminbi has fluctuated against the U.S. dollar, at times significantly and unpredictably. It is difficult to predict how market forces or PRC or U.S. government policies may impact the exchange rate between Renminbi and the U.S. dollar in the future.</w:t>
      </w:r>
    </w:p>
    <w:p>
      <w:pPr>
        <w:spacing w:after="0" w:line="161" w:lineRule="exact"/>
        <w:rPr>
          <w:sz w:val="20"/>
          <w:szCs w:val="20"/>
          <w:color w:val="auto"/>
        </w:rPr>
      </w:pPr>
    </w:p>
    <w:p>
      <w:pPr>
        <w:ind w:left="700" w:right="60" w:firstLine="393"/>
        <w:spacing w:after="0" w:line="259" w:lineRule="auto"/>
        <w:rPr>
          <w:sz w:val="20"/>
          <w:szCs w:val="20"/>
          <w:color w:val="auto"/>
        </w:rPr>
      </w:pPr>
      <w:r>
        <w:rPr>
          <w:rFonts w:ascii="Times New Roman" w:cs="Times New Roman" w:eastAsia="Times New Roman" w:hAnsi="Times New Roman"/>
          <w:sz w:val="16"/>
          <w:szCs w:val="16"/>
          <w:color w:val="auto"/>
        </w:rPr>
        <w:t>To the extent that we need to convert U.S. dollars into Renminbi for capital expenditures and working capital and other business purposes, appreciation of Renminbi against the U.S. dollar would have an adverse effect on Renminbi amount we would receive from the conversion. Conversely, if we decide to convert Renminbi into U.S. dollars for the purpose of making payments for dividends on our common shares, strategic acquisitions or investments or other business purposes, appreciation of the U.S. dollar against Renminbi would have a negative effect on the U.S. dollar amount available to us.</w:t>
      </w:r>
    </w:p>
    <w:p>
      <w:pPr>
        <w:spacing w:after="0" w:line="164" w:lineRule="exact"/>
        <w:rPr>
          <w:sz w:val="20"/>
          <w:szCs w:val="20"/>
          <w:color w:val="auto"/>
        </w:rPr>
      </w:pPr>
    </w:p>
    <w:p>
      <w:pPr>
        <w:ind w:left="700" w:right="20" w:firstLine="393"/>
        <w:spacing w:after="0" w:line="258" w:lineRule="auto"/>
        <w:rPr>
          <w:sz w:val="20"/>
          <w:szCs w:val="20"/>
          <w:color w:val="auto"/>
        </w:rPr>
      </w:pPr>
      <w:r>
        <w:rPr>
          <w:rFonts w:ascii="Times New Roman" w:cs="Times New Roman" w:eastAsia="Times New Roman" w:hAnsi="Times New Roman"/>
          <w:sz w:val="16"/>
          <w:szCs w:val="16"/>
          <w:color w:val="auto"/>
        </w:rPr>
        <w:t>The reporting currency of our company is the Renminbi. However, the functional currency of our consolidated operating subsidiaries and variable interest entity is the Renminbi and substantially all of their revenues and expenses are denominated in Renminbi. Fluctuations in exchange rates, primarily those involving the U.S. dollar, may affect the relative purchasing power of these proceeds. In addition, appreciation or depreciation in the value of the Renminbi relative to the U.S. dollar would affect our financial results reported in U.S. dollar terms without giving effect to any underlying change in our business or results of operations. Fluctuations in the exchange rate will also affect the relative value of earnings from, and the value of any U.S. dollar-denominated investments we make in the future.</w:t>
      </w:r>
    </w:p>
    <w:p>
      <w:pPr>
        <w:spacing w:after="0" w:line="163" w:lineRule="exact"/>
        <w:rPr>
          <w:sz w:val="20"/>
          <w:szCs w:val="20"/>
          <w:color w:val="auto"/>
        </w:rPr>
      </w:pPr>
    </w:p>
    <w:p>
      <w:pPr>
        <w:ind w:left="700" w:right="80" w:firstLine="393"/>
        <w:spacing w:after="0" w:line="259" w:lineRule="auto"/>
        <w:rPr>
          <w:sz w:val="20"/>
          <w:szCs w:val="20"/>
          <w:color w:val="auto"/>
        </w:rPr>
      </w:pPr>
      <w:r>
        <w:rPr>
          <w:rFonts w:ascii="Times New Roman" w:cs="Times New Roman" w:eastAsia="Times New Roman" w:hAnsi="Times New Roman"/>
          <w:sz w:val="16"/>
          <w:szCs w:val="16"/>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0540"/>
          </w:cols>
          <w:pgMar w:left="320" w:top="447" w:right="10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1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PRC regulations relating to investments in offshore companies by PRC residents may subject our PRC-resident beneficial owners or our WFOE to liability or penalties, limit our ability to inject capital into our WFOE or limit our WFOE’s ability to increase their registered capital or distribute profits.</w:t>
      </w:r>
    </w:p>
    <w:p>
      <w:pPr>
        <w:spacing w:after="0" w:line="58" w:lineRule="exact"/>
        <w:rPr>
          <w:sz w:val="20"/>
          <w:szCs w:val="20"/>
          <w:color w:val="auto"/>
        </w:rPr>
      </w:pPr>
    </w:p>
    <w:p>
      <w:pPr>
        <w:ind w:left="700" w:firstLine="393"/>
        <w:spacing w:after="0" w:line="253" w:lineRule="auto"/>
        <w:rPr>
          <w:sz w:val="20"/>
          <w:szCs w:val="20"/>
          <w:color w:val="auto"/>
        </w:rPr>
      </w:pPr>
      <w:r>
        <w:rPr>
          <w:rFonts w:ascii="Times New Roman" w:cs="Times New Roman" w:eastAsia="Times New Roman" w:hAnsi="Times New Roman"/>
          <w:sz w:val="16"/>
          <w:szCs w:val="16"/>
          <w:color w:val="auto"/>
        </w:rPr>
        <w:t>PRC residents are required to file or obtain the certificates of outbound investment from, or register with, regulatory authorities when investing in offshore companies. According to administrative measures for the outbound investment by PRC entities promulgated by the NDRC and MOFCOM, PRC entities shall obtain the approval or file with the NDRC and MOFCOM when investing in offshore companies, and shall update or apply for amendment in respect to the certificates, filings or registrations in the event of any significant changes with respect to the offshore investment. SAFE promulgated the Circular on Relevant Issues Concerning Foreign Exchange Control on Domestic Residents’ Offshore Investment and Financing and Roundtrip Investment through Special Purpose Vehicles, or SAFE Circular 37, on July 4, 2014, which replaced the former circular commonly known as “SAFE Circular 75” promulgated by SAFE on October 21, 2005. SAFE Circular 37 requires PRC residents (including individuals and entities)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37 as a “special purpose vehicle.” SAFE Circular 37 further requires amendment to the registration in the event of any significant changes with respect to the special purpose vehicle, such as increase or decrease of capital contributed by PRC individuals, share transfer or exchange, merger, division or other material event. In the event that a PRC resident holding interests in a special purpose vehicle fails to fulfill the required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subsidiaries. Moreover, failure to comply with the various SAFE registration requirements described above could result in liability under PRC law for evasion of foreign exchange controls. According to the Notice on Further Simplifying and Improving Policies for the Foreign Exchange Administration of Direct Investment released on February 13, 2015, by SAFE, local banks will examine and handle foreign exchange registration for overseas direct investment, including the initial foreign exchange registration and amendment registration, under SAFE Circular 37 from June 1, 2015.</w:t>
      </w:r>
    </w:p>
    <w:p>
      <w:pPr>
        <w:spacing w:after="0" w:line="171" w:lineRule="exact"/>
        <w:rPr>
          <w:sz w:val="20"/>
          <w:szCs w:val="20"/>
          <w:color w:val="auto"/>
        </w:rPr>
      </w:pPr>
    </w:p>
    <w:p>
      <w:pPr>
        <w:ind w:left="700" w:right="40" w:firstLine="393"/>
        <w:spacing w:after="0" w:line="254" w:lineRule="auto"/>
        <w:rPr>
          <w:sz w:val="20"/>
          <w:szCs w:val="20"/>
          <w:color w:val="auto"/>
        </w:rPr>
      </w:pPr>
      <w:r>
        <w:rPr>
          <w:rFonts w:ascii="Times New Roman" w:cs="Times New Roman" w:eastAsia="Times New Roman" w:hAnsi="Times New Roman"/>
          <w:sz w:val="16"/>
          <w:szCs w:val="16"/>
          <w:color w:val="auto"/>
        </w:rPr>
        <w:t>As of the date of this annual report, all of our beneficial owners who are PRC individuals have completed their initial registration under SAFE Circular 37, and our shareholders who are PRC entities have completed SAFE registration under relevant foreign exchange regulations. We have notified and requested all of our shareholders to comply with, or notify their beneficial owners who are PRC residents to comply with applicable PRC regulations, including the requirements of NDRC and MOFCOM and their filing obligation under SAFE Circular 37 and other implementation rules. Nevertheless, we do not have control over our beneficial owners and there can be no assurance that all of our PRC-resident beneficial owners will at all times comply with such requirements and obligations. In addition, we cannot assure you that all of our shareholders or beneficial owners who are PRC residents will in the future update or apply for amendment with respect to the certificates, filings or registrations in the event of any significant changes with respect to the offshore investment. The failure of our beneficial owners who are PRC residents to register or amend certificates, filings or registrations in a timely manner pursuant to applicable PRC regulations, or the failure of future beneficial owners of our company who are PRC residents to comply with the registration procedures set forth in applicable PRC laws and regulations, may subject such beneficial owners or our WFOE to fines and legal sanctions. Failure to register or comply with relevant requirements may also limit our ability to contribute additional capital to our WFOE and limit our WFOE’s ability to distribute dividends to our company or conduct other foreign exchange transactions. These risks may have a material adverse effect on our business, financial condition and results of operations.</w:t>
      </w:r>
    </w:p>
    <w:p>
      <w:pPr>
        <w:spacing w:after="0" w:line="260" w:lineRule="exact"/>
        <w:rPr>
          <w:sz w:val="20"/>
          <w:szCs w:val="20"/>
          <w:color w:val="auto"/>
        </w:rPr>
      </w:pPr>
    </w:p>
    <w:p>
      <w:pPr>
        <w:ind w:left="700" w:right="32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PRC regulations regarding the registration requirements for employee share ownership plans or share option plans may subject the PRC plan participants or us to fines and other legal or administrative sanctions.</w:t>
      </w:r>
    </w:p>
    <w:p>
      <w:pPr>
        <w:spacing w:after="0" w:line="43"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Pursuant to the Notice on Issues Concerning the Foreign Exchange Administration for Domestic Individuals Participating in Stock Incentive Plan of Overseas Publicly Listed Company, issued by SAFE in February 2012, employees, directors, supervisors and other senior management participating in any stock incentive plan of an overseas publicly listed company who are PRC citizens or who are non-PRC citizens residing in China for a continuous period of not less than one year, subject to a few exceptions, are required to register with SAFE through a domestic qualified agent, which could be a PRC subsidiaries of such overseas listed company, and complete certain other procedures. We and our directors, executive officers and other employees who are PRC citizens or who reside in the PRC for a continuous period of not less than one year and who have been granted restricted shares, restricted share units or options will be subject to these regulations if those employees exercise such restricted shares, restricted share units or options. Separately, SAFE Circular 37 also requires certain registration procedures to be completed if those employees exercise restricted shares, restricted share units or options before listing. Failure to complete the SAFE registrations may subject them to fines and legal sanctions and may also limit our ability to contribute additional capital into our wholly foreign-owned subsidiaries in China and limit these subsidiaries’ ability to distribute dividends to us. We also face regulatory uncertainties that could restrict our ability to adopt additional incentive plans for our directors and employees under PRC law.</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10520"/>
          </w:cols>
          <w:pgMar w:left="320" w:top="447" w:right="10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40" w:firstLine="393"/>
        <w:spacing w:after="0" w:line="259" w:lineRule="auto"/>
        <w:rPr>
          <w:sz w:val="20"/>
          <w:szCs w:val="20"/>
          <w:color w:val="auto"/>
        </w:rPr>
      </w:pPr>
      <w:r>
        <w:rPr>
          <w:rFonts w:ascii="Times New Roman" w:cs="Times New Roman" w:eastAsia="Times New Roman" w:hAnsi="Times New Roman"/>
          <w:sz w:val="16"/>
          <w:szCs w:val="16"/>
          <w:color w:val="auto"/>
        </w:rPr>
        <w:t>In addition, the State Administration of Taxation, or the SAT has issued certain circulars concerning employee share options or restricted shares. Under these circulars, the employees working in the PRC who exercise share options or are granted restricted share units will be subject to PRC individual income tax. Our WFOE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 authorities.</w:t>
      </w:r>
    </w:p>
    <w:p>
      <w:pPr>
        <w:spacing w:after="0" w:line="2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Failure to make adequate contributions to various employee benefit plans as required by PRC regulations may subject us to penalties.</w:t>
      </w:r>
    </w:p>
    <w:p>
      <w:pPr>
        <w:spacing w:after="0" w:line="109"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Companies operating in China are required to participate in various government-mandated employee benefit contribution plans, including certain social insurance, housing funds and other welfare plans, open and register accounts for social insurance accounts and housing funds, and contribute in their own names to the plans in amounts equal to certain percentages of salaries, including bonuses and allowances, of employees up to a maximum amount specified by the local government from time to time at locations where companies operate our businesses. The requirements of employee benefit contribution plans have not been implemented consistently by the local governments in China given the different levels of economic development in different geographical areas.</w:t>
      </w:r>
    </w:p>
    <w:p>
      <w:pPr>
        <w:spacing w:after="0" w:line="163" w:lineRule="exact"/>
        <w:rPr>
          <w:sz w:val="20"/>
          <w:szCs w:val="20"/>
          <w:color w:val="auto"/>
        </w:rPr>
      </w:pPr>
    </w:p>
    <w:p>
      <w:pPr>
        <w:ind w:left="700" w:right="60" w:firstLine="393"/>
        <w:spacing w:after="0" w:line="258" w:lineRule="auto"/>
        <w:rPr>
          <w:sz w:val="20"/>
          <w:szCs w:val="20"/>
          <w:color w:val="auto"/>
        </w:rPr>
      </w:pPr>
      <w:r>
        <w:rPr>
          <w:rFonts w:ascii="Times New Roman" w:cs="Times New Roman" w:eastAsia="Times New Roman" w:hAnsi="Times New Roman"/>
          <w:sz w:val="16"/>
          <w:szCs w:val="16"/>
          <w:color w:val="auto"/>
        </w:rPr>
        <w:t>Certain PRC subsidiaries of the VIE had historically failed to make adequate social insurances and housing fund contributions for their employees, failed to open and register the accounts for social insurance and housing funds or engage third-party agencies to make contributions in such agencies’ names to such employee benefit plans. We cannot assure you that we will not be required to make up the contributions for these welfare plans as well as late fees and fines, or that we will, in the future, be able to make adequate contributions to employee benefit plans for all employees or open and register the accounts for social insurance and housing funds in a timely manner, or at all. If we are subject to investigations or penalties related to non-compliance with labor laws, our business, financial condition and results of operations could be adversely affected.</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Inflation and increases in labor costs in China could negatively affect our profitability and growth.</w:t>
      </w:r>
    </w:p>
    <w:p>
      <w:pPr>
        <w:spacing w:after="0" w:line="109"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The economy in China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The relevant government agencies may examine whether an employer has made adequate payments to the statutory employee benefits, and those employers who fail to make adequate payments may be subject to late payment fees, fines and/or other penalties. We expect that our labor costs, including wages and employee benefits, will continue to increase. Unless we are able to control our labor costs or pass on these increased labor costs to our users by increasing the fees for our services, our financial condition and results of operations may be adversely affected.</w:t>
      </w:r>
    </w:p>
    <w:p>
      <w:pPr>
        <w:spacing w:after="0" w:line="261" w:lineRule="exact"/>
        <w:rPr>
          <w:sz w:val="20"/>
          <w:szCs w:val="20"/>
          <w:color w:val="auto"/>
        </w:rPr>
      </w:pPr>
    </w:p>
    <w:p>
      <w:pPr>
        <w:ind w:left="700" w:right="38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Any failure by us or our third-party service providers to comply with applicable anti-money laundering laws and regulations could damage our reputation.</w:t>
      </w:r>
    </w:p>
    <w:p>
      <w:pPr>
        <w:spacing w:after="0" w:line="43" w:lineRule="exact"/>
        <w:rPr>
          <w:sz w:val="20"/>
          <w:szCs w:val="20"/>
          <w:color w:val="auto"/>
        </w:rPr>
      </w:pPr>
    </w:p>
    <w:p>
      <w:pPr>
        <w:ind w:left="700" w:right="200" w:firstLine="393"/>
        <w:spacing w:after="0" w:line="262" w:lineRule="auto"/>
        <w:rPr>
          <w:sz w:val="20"/>
          <w:szCs w:val="20"/>
          <w:color w:val="auto"/>
        </w:rPr>
      </w:pPr>
      <w:r>
        <w:rPr>
          <w:rFonts w:ascii="Times New Roman" w:cs="Times New Roman" w:eastAsia="Times New Roman" w:hAnsi="Times New Roman"/>
          <w:sz w:val="16"/>
          <w:szCs w:val="16"/>
          <w:color w:val="auto"/>
        </w:rPr>
        <w:t>In collaboration with our third-party service providers, we have adopted various policies and procedures, such as internal controls and “know-your-client” procedures, for anti-money laundering purposes. The Guidelines on Promoting the Healthy Development of Internet Finance Industry, or the Fintech Guidelines purports, among other things, to require internet financial service providers, including us, to comply with certain anti-money laundering requirements, including:</w:t>
      </w:r>
    </w:p>
    <w:p>
      <w:pPr>
        <w:spacing w:after="0" w:line="76" w:lineRule="exact"/>
        <w:rPr>
          <w:sz w:val="20"/>
          <w:szCs w:val="20"/>
          <w:color w:val="auto"/>
        </w:rPr>
      </w:pPr>
    </w:p>
    <w:p>
      <w:pPr>
        <w:ind w:left="1580" w:hanging="391"/>
        <w:spacing w:after="0"/>
        <w:tabs>
          <w:tab w:leader="none" w:pos="15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establishment of a borrower identification program;</w:t>
      </w:r>
    </w:p>
    <w:p>
      <w:pPr>
        <w:spacing w:after="0" w:line="1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0520"/>
          </w:cols>
          <w:pgMar w:left="320" w:top="447" w:right="10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1580" w:hanging="391"/>
        <w:spacing w:after="0"/>
        <w:tabs>
          <w:tab w:leader="none" w:pos="1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monitoring and reporting of the suspicious transaction;</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preservation of borrower information and transaction records; and</w:t>
      </w:r>
    </w:p>
    <w:p>
      <w:pPr>
        <w:spacing w:after="0" w:line="117" w:lineRule="exact"/>
        <w:rPr>
          <w:rFonts w:ascii="Times New Roman" w:cs="Times New Roman" w:eastAsia="Times New Roman" w:hAnsi="Times New Roman"/>
          <w:sz w:val="16"/>
          <w:szCs w:val="16"/>
          <w:color w:val="auto"/>
        </w:rPr>
      </w:pPr>
    </w:p>
    <w:p>
      <w:pPr>
        <w:ind w:left="1580" w:right="300" w:hanging="391"/>
        <w:spacing w:after="0" w:line="284" w:lineRule="auto"/>
        <w:tabs>
          <w:tab w:leader="none" w:pos="1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 of assistance to the public security department and judicial authority in investigations and proceedings in relation to anti-money laundering matters.</w:t>
      </w:r>
    </w:p>
    <w:p>
      <w:pPr>
        <w:spacing w:after="0" w:line="143" w:lineRule="exact"/>
        <w:rPr>
          <w:sz w:val="20"/>
          <w:szCs w:val="20"/>
          <w:color w:val="auto"/>
        </w:rPr>
      </w:pPr>
    </w:p>
    <w:p>
      <w:pPr>
        <w:ind w:left="700" w:right="60" w:firstLine="393"/>
        <w:spacing w:after="0" w:line="262" w:lineRule="auto"/>
        <w:rPr>
          <w:sz w:val="20"/>
          <w:szCs w:val="20"/>
          <w:color w:val="auto"/>
        </w:rPr>
      </w:pPr>
      <w:r>
        <w:rPr>
          <w:rFonts w:ascii="Times New Roman" w:cs="Times New Roman" w:eastAsia="Times New Roman" w:hAnsi="Times New Roman"/>
          <w:sz w:val="16"/>
          <w:szCs w:val="16"/>
          <w:color w:val="auto"/>
        </w:rPr>
        <w:t>There is no assurance that our anti-money laundering policies and procedures will protect us from being exploited for money laundering purposes or that we will be deemed to be in compliance with applicable anti-money laundering implementing rules, if and when adopted, given that our anti-money laundering obligations in the Fintech Guidelines. Any new requirement under money laundering laws could increase our costs and may expose us to potential sanctions if we fail to comply.</w:t>
      </w:r>
    </w:p>
    <w:p>
      <w:pPr>
        <w:spacing w:after="0" w:line="161"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We have not been subject to fines or other penalties, or suffered business or other reputational harm, as a result of actual or alleged money laundering activities in the past. However, our policies and procedures may not be completely effective in preventing other parties from using us, any of third-party service providers as a conduit for money laundering (including illegal cash operations) without our knowledge. If we were to be associated with money laundering (including illegal cash operations), our reputation could suffer and we could become subject to regulatory fines, sanctions or legal enforcement, including being added to any “blacklists” that would prohibit certain parties from engaging in transactions with us, all of which could have a material adverse effect on our financial condition and results of operations. Even if we and our third-party service providers comply with the applicable anti-money laundering laws and regulations, we and our third-party service providers may not be able to fully eliminate money laundering and other illegal or improper activities in light of the complexity and the secrecy of these activities. Any negative perception of the industry, such as that arises from any failure of other insurance service providers to detect or prevent money laundering activities, even if factually incorrect or based on isolated incidents, could compromise our image, undermine the trust and credibility we have established and negatively impact our financial condition and results of operations.</w:t>
      </w:r>
    </w:p>
    <w:p>
      <w:pPr>
        <w:spacing w:after="0" w:line="264" w:lineRule="exact"/>
        <w:rPr>
          <w:sz w:val="20"/>
          <w:szCs w:val="20"/>
          <w:color w:val="auto"/>
        </w:rPr>
      </w:pPr>
    </w:p>
    <w:p>
      <w:pPr>
        <w:ind w:left="700" w:right="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China’s M&amp;A Rules and certain other PRC regulations establish complex procedures for some acquisitions of PRC companies by foreign investors, which could make it more difficult for us to pursue growth through acquisitions in China.</w:t>
      </w:r>
    </w:p>
    <w:p>
      <w:pPr>
        <w:spacing w:after="0" w:line="43" w:lineRule="exact"/>
        <w:rPr>
          <w:sz w:val="20"/>
          <w:szCs w:val="20"/>
          <w:color w:val="auto"/>
        </w:rPr>
      </w:pPr>
    </w:p>
    <w:p>
      <w:pPr>
        <w:ind w:left="700" w:right="120" w:firstLine="393"/>
        <w:spacing w:after="0" w:line="254" w:lineRule="auto"/>
        <w:rPr>
          <w:sz w:val="20"/>
          <w:szCs w:val="20"/>
          <w:color w:val="auto"/>
        </w:rPr>
      </w:pPr>
      <w:r>
        <w:rPr>
          <w:rFonts w:ascii="Times New Roman" w:cs="Times New Roman" w:eastAsia="Times New Roman" w:hAnsi="Times New Roman"/>
          <w:sz w:val="16"/>
          <w:szCs w:val="16"/>
          <w:color w:val="auto"/>
        </w:rPr>
        <w:t>A number of PRC laws and regulations have established procedures and requirements that could make merger and acquisition activities in China by foreign investors more time consuming and complex. In addition to the Anti- monopoly Law itself, these include the Regulations on Mergers and Acquisitions of Domestic Enterprises by Foreign Investors, or the M&amp;A Rules, adopted by six PRC regulatory agencies in 2006 and amended in 2009, and the Rules of the Ministry of Commerce on Implementation of Security Review System of Mergers and Acquisitions of Domestic Enterprises by Foreign Investors, or the Security Review Rules, promulgated in 2011. These laws and regulations impose requirements in some instances that the Ministry of Commerce be notified in advance of any change-of-control transaction in which a foreign investor takes control of a PRC domestic enterprise. In addition, the Anti-Monopoly Law requires that the Ministry of Commerce be notified in advance of any concentration of undertaking if certain thresholds are triggered. Moreover, the Security Review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prohibit any attempt to bypass a security review, including by structuring the transaction through a proxy or contractual control arrangement. In the future, we may grow our business by acquiring complementary businesses. Complying with the requirements of the relevant regulations to complete such transactions could be time consuming, and any required approval processes, including approval from the Ministry of Commerce, may delay or inhibit our ability to complete such transactions, which could affect our ability to expand our business or maintain our market share.</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0520"/>
          </w:cols>
          <w:pgMar w:left="320" w:top="447" w:right="10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We face uncertainties with respect to indirect transfers of equity interests in PRC resident enterprises by their non-PRC holding companies.</w:t>
      </w:r>
    </w:p>
    <w:p>
      <w:pPr>
        <w:spacing w:after="0" w:line="109" w:lineRule="exact"/>
        <w:rPr>
          <w:sz w:val="20"/>
          <w:szCs w:val="20"/>
          <w:color w:val="auto"/>
        </w:rPr>
      </w:pPr>
    </w:p>
    <w:p>
      <w:pPr>
        <w:ind w:left="700" w:right="280" w:firstLine="393"/>
        <w:spacing w:after="0" w:line="284" w:lineRule="auto"/>
        <w:rPr>
          <w:sz w:val="20"/>
          <w:szCs w:val="20"/>
          <w:color w:val="auto"/>
        </w:rPr>
      </w:pPr>
      <w:r>
        <w:rPr>
          <w:rFonts w:ascii="Times New Roman" w:cs="Times New Roman" w:eastAsia="Times New Roman" w:hAnsi="Times New Roman"/>
          <w:sz w:val="16"/>
          <w:szCs w:val="16"/>
          <w:color w:val="auto"/>
        </w:rPr>
        <w:t>We face uncertainties regarding the reporting on and consequences of previous private equity financing transactions involving the transfer and exchange of shares in our company by non-resident investors.</w:t>
      </w:r>
    </w:p>
    <w:p>
      <w:pPr>
        <w:spacing w:after="0" w:line="143" w:lineRule="exact"/>
        <w:rPr>
          <w:sz w:val="20"/>
          <w:szCs w:val="20"/>
          <w:color w:val="auto"/>
        </w:rPr>
      </w:pPr>
    </w:p>
    <w:p>
      <w:pPr>
        <w:ind w:left="700" w:firstLine="393"/>
        <w:spacing w:after="0" w:line="253" w:lineRule="auto"/>
        <w:rPr>
          <w:sz w:val="20"/>
          <w:szCs w:val="20"/>
          <w:color w:val="auto"/>
        </w:rPr>
      </w:pPr>
      <w:r>
        <w:rPr>
          <w:rFonts w:ascii="Times New Roman" w:cs="Times New Roman" w:eastAsia="Times New Roman" w:hAnsi="Times New Roman"/>
          <w:sz w:val="16"/>
          <w:szCs w:val="16"/>
          <w:color w:val="auto"/>
        </w:rPr>
        <w:t>In February 2015, the SAT issued the Bulletin on Issues of Enterprise Income Tax on Indirect Transfers of Assets by Non-PRC Resident Enterprises, or SAT Bulletin 7, as amended in 2017. Pursuant to this bulletin,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According to SAT Bulletin 7, “PRC taxable assets” include assets attributed to an establishment in China, immovable properties located in China, and equity investments in PRC resident enterprises, in respect of which gains from their transfer by a direct holder, being a non-PRC resident enterprise, would be subject to PRC enterprise income taxes. When determining whether there is a “reasonable commercial purpose” of the transaction arrangement, features to be taken into consideration include: whether the main value of the equity interest of the relevant offshore enterprise derives from PRC taxable assets; whether the assets of the relevant offshore enterprise mainly consist of direct or indirect investment in China or if its income mainly derives from China; whether the offshore enterprise and its subsidiary directly or indirectly holding PRC taxable assets have real commercial nature which is evidenced by their actual function and risk exposure; the duration of existence of shareholders, the business model and organizational structure; the information about the payment of due income tax outside China on indirect transfer of Chinese taxable property; the substitutability between indirect investment by equity transferor, indirect transfer of Chinese taxable property and direct investment, direct transfer of Chinese taxable property; Chinese tax conventions or arrangements applicable to the proceeds from indirect transfer of Chinese taxable property; and other relevant factors. In respect of an indirect offshore transfer of assets of a PRC establishment, the resulting gain is to be included with the enterprise income tax filing of the PRC establishment or place of business being transferred, and would consequently be subject to PRC enterprise income tax at a rate of 25%. Where the underlying transfer relates to the immovable properties located in China or to equity investments in a PRC resident enterprise, which is not related to a PRC establishment or place of business of a non-resident enterprise, a PRC enterprise income tax of 10% would apply, subject to available preferential tax treatment under applicable tax treaties or similar arrangements, and the party who is obligated to make the transfer payments has the withholding obligation. SAT Bulletin 7 does not apply to transactions of sale of shares by investors through a public stock exchange where such shares were acquired from a transaction through a public stock exchange.</w:t>
      </w:r>
    </w:p>
    <w:p>
      <w:pPr>
        <w:spacing w:after="0" w:line="362" w:lineRule="exact"/>
        <w:rPr>
          <w:sz w:val="20"/>
          <w:szCs w:val="20"/>
          <w:color w:val="auto"/>
        </w:rPr>
      </w:pPr>
    </w:p>
    <w:p>
      <w:pPr>
        <w:ind w:left="700" w:right="60" w:firstLine="393"/>
        <w:spacing w:after="0" w:line="256" w:lineRule="auto"/>
        <w:rPr>
          <w:sz w:val="20"/>
          <w:szCs w:val="20"/>
          <w:color w:val="auto"/>
        </w:rPr>
      </w:pPr>
      <w:r>
        <w:rPr>
          <w:rFonts w:ascii="Times New Roman" w:cs="Times New Roman" w:eastAsia="Times New Roman" w:hAnsi="Times New Roman"/>
          <w:sz w:val="16"/>
          <w:szCs w:val="16"/>
          <w:color w:val="auto"/>
        </w:rPr>
        <w:t>There are uncertainties as to the application of SAT Bulletin 7. 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if our company is transferor in such transactions, and may be subject to withholding obligations if our company is transferee in such transactions under SAT Bulletin 7. For transfer of shares in our company by investors that are non-PRC resident enterprises, our WFOE may be requested to assist in the filing under SAT Bulletin 7. As a result, we may be required to expend valuable resources to comply with SAT Bulletin 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58" w:lineRule="exact"/>
        <w:rPr>
          <w:sz w:val="20"/>
          <w:szCs w:val="20"/>
          <w:color w:val="auto"/>
        </w:rPr>
      </w:pPr>
    </w:p>
    <w:p>
      <w:pPr>
        <w:ind w:left="700" w:right="3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dividends we receive from our WFOE may be subject to PRC tax under the PRC Enterprise Income Tax Law, which would have a material adverse effect on our financial condition and results of operations.</w:t>
      </w:r>
    </w:p>
    <w:p>
      <w:pPr>
        <w:spacing w:after="0" w:line="43"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Under the applicable PRC tax laws in effect before January 1, 2008, dividend payments to foreign investors made by foreign-invested enterprises in China were exempt from PRC withholding tax. Pursuant to the PRC Enterprise Income Tax Law, however, dividends generated after January 1, 2008, and payable by a foreign-invested enterprise in China to its foreign investors are subject to a 10% withholding tax, unless any such foreign investor’s jurisdiction of incorporation has a tax treaty with China that provides for a different withholding arrangement. We are a Cayman Islands holding company and substantially all of our income may come from dividends we receive from our WFOE. Since there is currently no such tax treaty between China and the Cayman Islands, dividends we receive from our WFOE will generally be subject to a 10% withholding tax, which would have a material adverse effect on our financial condition and results of operations.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0520"/>
          </w:cols>
          <w:pgMar w:left="320" w:top="447" w:right="10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18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43" w:lineRule="exact"/>
        <w:rPr>
          <w:sz w:val="20"/>
          <w:szCs w:val="20"/>
          <w:color w:val="auto"/>
        </w:rPr>
      </w:pPr>
    </w:p>
    <w:p>
      <w:pPr>
        <w:ind w:left="700" w:right="20" w:firstLine="393"/>
        <w:spacing w:after="0" w:line="255" w:lineRule="auto"/>
        <w:rPr>
          <w:sz w:val="20"/>
          <w:szCs w:val="20"/>
          <w:color w:val="auto"/>
        </w:rPr>
      </w:pPr>
      <w:r>
        <w:rPr>
          <w:rFonts w:ascii="Times New Roman" w:cs="Times New Roman" w:eastAsia="Times New Roman" w:hAnsi="Times New Roman"/>
          <w:sz w:val="16"/>
          <w:szCs w:val="16"/>
          <w:color w:val="auto"/>
        </w:rPr>
        <w:t>Prior to January 1, 2008, dividends payable to non-PRC investors were exempted from withholding tax. The PRC Enterprise Income Tax Law and its implementation rules provide that PRC enterprise income tax at the rate of 10% will generally be applicable to dividends derived from sources within the PRC and received by non-PRC enterprise shareholders. Similarly, gains derived from the transfer of shares by such shareholders are also subject to PRC enterprise income tax if such gains are regarded as income derived from sources within the PRC. Since there remain uncertainties regarding the interpretation and implementation of the PRC Enterprise Income Tax Law and its implementation rules, it is uncertain whether, if we are regarded as a PRC resident enterprise, any dividends to be distributed by us to our non-PRC shareholders and ADS holders which are enterprises would be subject to any PRC withholding tax. If we are required under the PRC Enterprise Income Tax Law to withhold PRC income tax on our dividends payable to our non-PRC enterprise shareholders and ADS holders, or if gains on the disposition of our shares by such holders are subject to the EIT Law, your investment in our common shares or ADSs may be materially and adversely affected.</w:t>
      </w:r>
    </w:p>
    <w:p>
      <w:pPr>
        <w:spacing w:after="0" w:line="261" w:lineRule="exact"/>
        <w:rPr>
          <w:sz w:val="20"/>
          <w:szCs w:val="20"/>
          <w:color w:val="auto"/>
        </w:rPr>
      </w:pPr>
    </w:p>
    <w:p>
      <w:pPr>
        <w:ind w:left="700" w:right="1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43" w:lineRule="exact"/>
        <w:rPr>
          <w:sz w:val="20"/>
          <w:szCs w:val="20"/>
          <w:color w:val="auto"/>
        </w:rPr>
      </w:pPr>
    </w:p>
    <w:p>
      <w:pPr>
        <w:ind w:left="700" w:right="160" w:firstLine="393"/>
        <w:spacing w:after="0" w:line="267" w:lineRule="auto"/>
        <w:rPr>
          <w:sz w:val="20"/>
          <w:szCs w:val="20"/>
          <w:color w:val="auto"/>
        </w:rPr>
      </w:pPr>
      <w:r>
        <w:rPr>
          <w:rFonts w:ascii="Times New Roman" w:cs="Times New Roman" w:eastAsia="Times New Roman" w:hAnsi="Times New Roman"/>
          <w:sz w:val="16"/>
          <w:szCs w:val="16"/>
          <w:color w:val="auto"/>
        </w:rPr>
        <w:t>Under PRC law, legal documents for corporate transactions, including contracts such as consulting service agreements we enter into with wealth management product providers, which are important to our business, are executed using the chops (a Chinese stamp or seal) or seals of the signing entity, or with the signature of a legal representative whose designation is registered and filed with the relevant branch of the SAMR.</w:t>
      </w:r>
    </w:p>
    <w:p>
      <w:pPr>
        <w:spacing w:after="0" w:line="157" w:lineRule="exact"/>
        <w:rPr>
          <w:sz w:val="20"/>
          <w:szCs w:val="20"/>
          <w:color w:val="auto"/>
        </w:rPr>
      </w:pPr>
    </w:p>
    <w:p>
      <w:pPr>
        <w:ind w:left="700" w:firstLine="393"/>
        <w:spacing w:after="0" w:line="253" w:lineRule="auto"/>
        <w:rPr>
          <w:sz w:val="20"/>
          <w:szCs w:val="20"/>
          <w:color w:val="auto"/>
        </w:rPr>
      </w:pPr>
      <w:r>
        <w:rPr>
          <w:rFonts w:ascii="Times New Roman" w:cs="Times New Roman" w:eastAsia="Times New Roman" w:hAnsi="Times New Roman"/>
          <w:sz w:val="16"/>
          <w:szCs w:val="16"/>
          <w:color w:val="auto"/>
        </w:rPr>
        <w:t>Although we usually utilize chops to enter into contracts, the designated legal representatives of each of our WFOE and consolidated entities have the power to enter into contracts on behalf of such entities without chops and bind such entities. All designated legal representatives of our WFOE and consolidated entities have signed employment undertaking letters with us or our WFOE and consolidated entities under which they agree to abide by various duties they owe to us. In order to maintain the physical security of our chops and the chops of our PRC entities, we generally store these items in secured locations accessible only by the authorized personnel of each of our WFOE and consolidated entities. Although we monitor such authorized personnel, there is no assurance such procedures will prevent all instances of abuse or negligence. We also use electronic chops for certain transactions. While we have in place internal procedures and rules to secure our electronic chops, including to ensure that only authorized signatories are permitted to deploy them, electronic chops are inherently susceptible to misuse. Any misuse of our electronic chops could have severe financial and legal implications, and could materially and adversely affect our business and financial performance. Accordingly, if any of our authorized personnel misuse or misappropriate our corporate chops or seals, whether physical or electronic, we could encounter difficulties in maintaining control over the relevant entities and experience significant disruption to our operations. If a designated legal representative obtains control of the chops in an effort to obtain control over any of our WFOE or consolidated entities, we, our WFOE or consolidated entities would need to pass a new shareholder or board resolution to designate a new legal representative and we would need to take legal actions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10540"/>
          </w:cols>
          <w:pgMar w:left="320" w:top="447" w:right="10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Risks Relating to Our ADSs</w:t>
      </w:r>
    </w:p>
    <w:p>
      <w:pPr>
        <w:spacing w:after="0" w:line="1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The trading price of our ADSs has been and may continue to be volatile, which could result in substantial losses to investors.</w:t>
      </w:r>
    </w:p>
    <w:p>
      <w:pPr>
        <w:spacing w:after="0" w:line="109"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Since our ADSs became listed on the Nasdaq Global Market on February 11, 2020, the trading price of our ADSs been subject to side fluctuations. In 2022, the trading prices of our ADS on the Nasdaq Global Market have ranged from US$0.45 to US$1.70 per ADS. The trading price of other Chinese companies’ securities, including internet-based companies, may affect the attitudes of investors toward Chinese companies listed in the United States, which consequently may impact the trading performance of our ADSs, regardless of our actual operating performance. In addition, any negative news or perceptions about inadequate corporate governance practices or fraudulent accounting, corporate structure or matters of the Chinese companies may also negatively affect the attitudes of investors towards Chinese companies in general, including us, regardless of our conduct. The trading price of our ADSs may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our ADSs may be volatile for factors specific to our own operations, including the following:</w:t>
      </w:r>
    </w:p>
    <w:p>
      <w:pPr>
        <w:spacing w:after="0" w:line="82" w:lineRule="exact"/>
        <w:rPr>
          <w:sz w:val="20"/>
          <w:szCs w:val="20"/>
          <w:color w:val="auto"/>
        </w:rPr>
      </w:pPr>
    </w:p>
    <w:p>
      <w:pPr>
        <w:ind w:left="1580" w:hanging="391"/>
        <w:spacing w:after="0"/>
        <w:tabs>
          <w:tab w:leader="none" w:pos="1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net revenues, earnings and cash flow;</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or our competitors’ announcements of new investments, acquisitions, strategic partnerships, or joint ventures;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or our competitors’ announcements of new products and services and expansions;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financial estimates by securities analysts;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on our part to realize monetization opportunities as expected;</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departures of key personnel;</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release of lock-up or other transfer restrictions on our outstanding equity securities or sales of additional equity securities;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detrimental negative publicity about us, our management, our competitors or our industry;</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affecting us or our industry; and</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potential litigation or regulatory investigations.</w:t>
      </w:r>
    </w:p>
    <w:p>
      <w:pPr>
        <w:spacing w:after="0" w:line="20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Any of these factors may result in large and sudden changes in the trading volume and price of the ADSs.</w:t>
      </w:r>
    </w:p>
    <w:p>
      <w:pPr>
        <w:spacing w:after="0" w:line="202"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55" w:lineRule="exact"/>
        <w:rPr>
          <w:sz w:val="20"/>
          <w:szCs w:val="20"/>
          <w:color w:val="auto"/>
        </w:rPr>
      </w:pPr>
    </w:p>
    <w:p>
      <w:pPr>
        <w:ind w:left="700" w:right="7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If we fail to meet Nasdaq’s minimum bid price or other continued listing requirements, our ADSs could be subject to delisting, which may significantly reduce the liquidity of our ADSs and cause further declines to the market price of our ADSs.</w:t>
      </w:r>
    </w:p>
    <w:p>
      <w:pPr>
        <w:spacing w:after="0" w:line="43" w:lineRule="exact"/>
        <w:rPr>
          <w:sz w:val="20"/>
          <w:szCs w:val="20"/>
          <w:color w:val="auto"/>
        </w:rPr>
      </w:pPr>
    </w:p>
    <w:p>
      <w:pPr>
        <w:ind w:left="700" w:right="100" w:firstLine="393"/>
        <w:spacing w:after="0" w:line="258" w:lineRule="auto"/>
        <w:rPr>
          <w:sz w:val="20"/>
          <w:szCs w:val="20"/>
          <w:color w:val="auto"/>
        </w:rPr>
      </w:pPr>
      <w:r>
        <w:rPr>
          <w:rFonts w:ascii="Times New Roman" w:cs="Times New Roman" w:eastAsia="Times New Roman" w:hAnsi="Times New Roman"/>
          <w:sz w:val="16"/>
          <w:szCs w:val="16"/>
          <w:color w:val="auto"/>
        </w:rPr>
        <w:t>Our ADSs are currently listed on the Nasdaq Global Market, or Nasdaq. The Nasdaq Listing Rules have minimum requirements that a company must meet for continued listing on Nasdaq. These requirements include, among others, maintaining a minimum bid price of US$1.00 per ADS for a period of 30 consecutive trading days. On October 12, 2022, we received a written notification from Nasdaq indicating that for the last 30 consecutive business days, the closing bid price for our ADSs was below the minimum bid price of US$1.00 per share requirement. We were granted a grace period of 180 calendar days, expiring on April 10, 2023, to regain compliance. We regained compliance with the minimum bid price requirement on December 13, 2022.</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0540"/>
          </w:cols>
          <w:pgMar w:left="320" w:top="447" w:right="10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140" w:firstLine="393"/>
        <w:spacing w:after="0" w:line="262" w:lineRule="auto"/>
        <w:rPr>
          <w:sz w:val="20"/>
          <w:szCs w:val="20"/>
          <w:color w:val="auto"/>
        </w:rPr>
      </w:pPr>
      <w:r>
        <w:rPr>
          <w:rFonts w:ascii="Times New Roman" w:cs="Times New Roman" w:eastAsia="Times New Roman" w:hAnsi="Times New Roman"/>
          <w:sz w:val="16"/>
          <w:szCs w:val="16"/>
          <w:color w:val="auto"/>
        </w:rPr>
        <w:t>As of the date of this annual report, we are in compliance with the minimum requirements that we must meet for continued listing on Nasdaq. However, there can be no assurance that we will stay compliant with the requirements for continued listing at all times going forward. The delisting of our ADSs or transfer of listing may significantly reduce the liquidity of our ADSs, cause further declines to the market price of our ADSs, and make it more difficult for us to obtain adequate financing to support our continued operation.</w:t>
      </w:r>
    </w:p>
    <w:p>
      <w:pPr>
        <w:spacing w:after="0" w:line="253" w:lineRule="exact"/>
        <w:rPr>
          <w:sz w:val="20"/>
          <w:szCs w:val="20"/>
          <w:color w:val="auto"/>
        </w:rPr>
      </w:pPr>
    </w:p>
    <w:p>
      <w:pPr>
        <w:ind w:left="700" w:right="1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or publish inaccurate or unfavorable research about our business, or if they adversely change their recommendations regarding our ADSs, the market price for our ADSs and trading volume could decline.</w:t>
      </w:r>
    </w:p>
    <w:p>
      <w:pPr>
        <w:spacing w:after="0" w:line="43" w:lineRule="exact"/>
        <w:rPr>
          <w:sz w:val="20"/>
          <w:szCs w:val="20"/>
          <w:color w:val="auto"/>
        </w:rPr>
      </w:pPr>
    </w:p>
    <w:p>
      <w:pPr>
        <w:jc w:val="both"/>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2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Techniques employed by short sellers may drive down the market price of our ADSs.</w:t>
      </w:r>
    </w:p>
    <w:p>
      <w:pPr>
        <w:spacing w:after="0" w:line="109"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63" w:lineRule="exact"/>
        <w:rPr>
          <w:sz w:val="20"/>
          <w:szCs w:val="20"/>
          <w:color w:val="auto"/>
        </w:rPr>
      </w:pPr>
    </w:p>
    <w:p>
      <w:pPr>
        <w:ind w:left="700" w:right="280" w:firstLine="393"/>
        <w:spacing w:after="0" w:line="259" w:lineRule="auto"/>
        <w:rPr>
          <w:sz w:val="20"/>
          <w:szCs w:val="20"/>
          <w:color w:val="auto"/>
        </w:rPr>
      </w:pPr>
      <w:r>
        <w:rPr>
          <w:rFonts w:ascii="Times New Roman" w:cs="Times New Roman" w:eastAsia="Times New Roman" w:hAnsi="Times New Roman"/>
          <w:sz w:val="16"/>
          <w:szCs w:val="16"/>
          <w:color w:val="auto"/>
        </w:rPr>
        <w:t>Public companies listed in the United States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64"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We may be the subject of unfavorable allegations made by short sellers in the future. Any such allegations may be followed by periods of instability in the market price of our common shares and ADSs and negative publicity. If and when we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federal or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shareholders’ equity, and the value of any investment in our ADSs could be greatly reduced or rendered worthless.</w:t>
      </w:r>
    </w:p>
    <w:p>
      <w:pPr>
        <w:spacing w:after="0" w:line="258" w:lineRule="exact"/>
        <w:rPr>
          <w:sz w:val="20"/>
          <w:szCs w:val="20"/>
          <w:color w:val="auto"/>
        </w:rPr>
      </w:pPr>
    </w:p>
    <w:p>
      <w:pPr>
        <w:ind w:left="700" w:right="4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Our dual-class voting structure will limit your ability to influence corporate matters and could discourage others from pursuing any change of control transactions that holders of our Class A common shares and the ADSs may view as beneficial.</w:t>
      </w:r>
    </w:p>
    <w:p>
      <w:pPr>
        <w:spacing w:after="0" w:line="43" w:lineRule="exact"/>
        <w:rPr>
          <w:sz w:val="20"/>
          <w:szCs w:val="20"/>
          <w:color w:val="auto"/>
        </w:rPr>
      </w:pPr>
    </w:p>
    <w:p>
      <w:pPr>
        <w:ind w:left="700" w:right="40" w:firstLine="393"/>
        <w:spacing w:after="0" w:line="258" w:lineRule="auto"/>
        <w:rPr>
          <w:sz w:val="20"/>
          <w:szCs w:val="20"/>
          <w:color w:val="auto"/>
        </w:rPr>
      </w:pPr>
      <w:r>
        <w:rPr>
          <w:rFonts w:ascii="Times New Roman" w:cs="Times New Roman" w:eastAsia="Times New Roman" w:hAnsi="Times New Roman"/>
          <w:sz w:val="16"/>
          <w:szCs w:val="16"/>
          <w:color w:val="auto"/>
        </w:rPr>
        <w:t>We have a dual-class common share structure. Our common shares are divided into Class A common shares and Class B common shares. Holders of Class A common shares are entitled to one vote per share, while holders of Class B common shares are entitled to 15 votes per share. Each Class B common share is convertible into one Class A common share at any time by the holder thereof, while Class A common shares are not convertible into Class B common shares under any circumstances. Upon any sale, transfer, assignment or disposition of Class B common shares by a holder thereof to any person or entity that is not an affiliate of such holder, such Class B common shares shall be automatically and immediately converted into an equal number of Class A common shares.</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10520"/>
          </w:cols>
          <w:pgMar w:left="320" w:top="447" w:right="10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80" w:firstLine="393"/>
        <w:spacing w:after="0" w:line="256" w:lineRule="auto"/>
        <w:rPr>
          <w:sz w:val="20"/>
          <w:szCs w:val="20"/>
          <w:color w:val="auto"/>
        </w:rPr>
      </w:pPr>
      <w:r>
        <w:rPr>
          <w:rFonts w:ascii="Times New Roman" w:cs="Times New Roman" w:eastAsia="Times New Roman" w:hAnsi="Times New Roman"/>
          <w:sz w:val="16"/>
          <w:szCs w:val="16"/>
          <w:color w:val="auto"/>
        </w:rPr>
        <w:t>As of February 28, 2023, Mr. Cunjun Ma, the chairman of our board of directors and our chief executive officer, beneficially owned an aggregate of 150,591,207 Class B common shares and 10,190,660 Class A common shares in the form of ADSs. Together with 137,153,306 Class A common shares, the voting power of which has been delegated to Mr. Cunjun Ma, Mr. Cunjun Ma is able to exercise in aggregate 76.8% of our total voting power. Therefore, Mr. Cunjun Ma has decisive influence over matters requiring shareholders’ approval, including election of directors and significant corporate transactions, such as a merger or sale of our company or our assets. This concentrated control will limit your ability to influence corporate matters and could discourage others from pursuing any potential merger, takeover or other change of control transactions that holders of our Class A common shares and the ADSs may view as beneficial.</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The dual-class structure of our common shares may adversely affect the trading market for the ADSs.</w:t>
      </w:r>
    </w:p>
    <w:p>
      <w:pPr>
        <w:spacing w:after="0" w:line="109" w:lineRule="exact"/>
        <w:rPr>
          <w:sz w:val="20"/>
          <w:szCs w:val="20"/>
          <w:color w:val="auto"/>
        </w:rPr>
      </w:pPr>
    </w:p>
    <w:p>
      <w:pPr>
        <w:ind w:left="700" w:right="120" w:firstLine="393"/>
        <w:spacing w:after="0" w:line="256" w:lineRule="auto"/>
        <w:rPr>
          <w:sz w:val="20"/>
          <w:szCs w:val="20"/>
          <w:color w:val="auto"/>
        </w:rPr>
      </w:pPr>
      <w:r>
        <w:rPr>
          <w:rFonts w:ascii="Times New Roman" w:cs="Times New Roman" w:eastAsia="Times New Roman" w:hAnsi="Times New Roman"/>
          <w:sz w:val="16"/>
          <w:szCs w:val="16"/>
          <w:color w:val="auto"/>
        </w:rPr>
        <w:t>S&amp;P Dow Jones and FTSE Russell have previously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common shares may prevent the inclusion of the ADSs representing our Class A common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ADSs representing our Class A common shares. Any actions or publications by shareholder advisory firms critical of our corporate governance practices or capital structure could also adversely affect the value of the ADSs.</w:t>
      </w: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The sale or availability for sale of substantial amounts of our ADSs could adversely affect their market price.</w:t>
      </w:r>
    </w:p>
    <w:p>
      <w:pPr>
        <w:spacing w:after="0" w:line="109" w:lineRule="exact"/>
        <w:rPr>
          <w:sz w:val="20"/>
          <w:szCs w:val="20"/>
          <w:color w:val="auto"/>
        </w:rPr>
      </w:pPr>
    </w:p>
    <w:p>
      <w:pPr>
        <w:ind w:left="700" w:right="100" w:firstLine="393"/>
        <w:spacing w:after="0" w:line="262" w:lineRule="auto"/>
        <w:rPr>
          <w:sz w:val="20"/>
          <w:szCs w:val="20"/>
          <w:color w:val="auto"/>
        </w:rPr>
      </w:pPr>
      <w:r>
        <w:rPr>
          <w:rFonts w:ascii="Times New Roman" w:cs="Times New Roman" w:eastAsia="Times New Roman" w:hAnsi="Times New Roman"/>
          <w:sz w:val="16"/>
          <w:szCs w:val="16"/>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ADSs.</w:t>
      </w:r>
    </w:p>
    <w:p>
      <w:pPr>
        <w:spacing w:after="0" w:line="2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Because we do not expect to pay dividends in the foreseeable future, you must rely on price appreciation of our ADSs for return on your investment.</w:t>
      </w:r>
    </w:p>
    <w:p>
      <w:pPr>
        <w:spacing w:after="0" w:line="109" w:lineRule="exact"/>
        <w:rPr>
          <w:sz w:val="20"/>
          <w:szCs w:val="20"/>
          <w:color w:val="auto"/>
        </w:rPr>
      </w:pPr>
    </w:p>
    <w:p>
      <w:pPr>
        <w:ind w:left="700" w:right="140" w:firstLine="393"/>
        <w:spacing w:after="0" w:line="267" w:lineRule="auto"/>
        <w:rPr>
          <w:sz w:val="20"/>
          <w:szCs w:val="20"/>
          <w:color w:val="auto"/>
        </w:rPr>
      </w:pPr>
      <w:r>
        <w:rPr>
          <w:rFonts w:ascii="Times New Roman" w:cs="Times New Roman" w:eastAsia="Times New Roman" w:hAnsi="Times New Roman"/>
          <w:sz w:val="16"/>
          <w:szCs w:val="16"/>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157"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Pursuant to our articles of association, our board of directors has absolute discretion as to whether to declare dividends subject to the requirements of the Companies Act. Our articles of association provides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we receive from our WFOE,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0520"/>
          </w:cols>
          <w:pgMar w:left="320" w:top="447" w:right="10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3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You may not have the same voting rights as the holders of our Class A common shares and may not receive voting materials in time to be able to exercise your right to vote.</w:t>
      </w:r>
    </w:p>
    <w:p>
      <w:pPr>
        <w:spacing w:after="0" w:line="43" w:lineRule="exact"/>
        <w:rPr>
          <w:sz w:val="20"/>
          <w:szCs w:val="20"/>
          <w:color w:val="auto"/>
        </w:rPr>
      </w:pPr>
    </w:p>
    <w:p>
      <w:pPr>
        <w:ind w:left="700" w:right="20" w:firstLine="393"/>
        <w:spacing w:after="0" w:line="255" w:lineRule="auto"/>
        <w:rPr>
          <w:sz w:val="20"/>
          <w:szCs w:val="20"/>
          <w:color w:val="auto"/>
        </w:rPr>
      </w:pPr>
      <w:r>
        <w:rPr>
          <w:rFonts w:ascii="Times New Roman" w:cs="Times New Roman" w:eastAsia="Times New Roman" w:hAnsi="Times New Roman"/>
          <w:sz w:val="16"/>
          <w:szCs w:val="16"/>
          <w:color w:val="auto"/>
        </w:rPr>
        <w:t>Holders of our ADSs do not have the same rights as our registered shareholders. As a holder of ADSs, you will not have any direct right to attend general meetings of our shareholders or to cast any votes at such meetings. You will only be able to exercise the voting rights that are carried by the underlying Class A common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practicable, to vote the underlying Class A common shares represented by your ADSs in accordance with your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common shares represented by your ADSs unless you withdraw the shares and become the registered holder of such shares prior to the record date for the general meeting. Under our memorandum and articles of association, the minimum notice period required to be given by our company to our registered shareholders for convening a general meeting is ten clear days.</w:t>
      </w:r>
    </w:p>
    <w:p>
      <w:pPr>
        <w:spacing w:after="0" w:line="166"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When a general meeting is convened, you may not receive sufficient advance notice of the meeting to withdraw the Class A common shares underlying your ADSs and become the registered holder of such shares to allow you to vote directly with respect to any specific matter or resolution to be considered and voted upon at the general meeting. In addition, under our memorandum and articles of association, for the purposes of determining those shareholders who are entitled to attend and vote at any general meeting, our directors may close our register of members and fix in advance a record date for such meeting, and such closure of our register of members or the setting of such a record date may prevent you from withdrawing the Class A common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30 days’ prior notice of shareholder meetings. Nevertheless, we cannot assure you that you will receive the voting materials in time to ensure that you can instruct the depositary to vote the underlying Class A common shares represented by your ADSs. In addition, the depositary and its agents are not responsible for failing to carry out voting instructions or for their manner of carrying out your voting instructions. This means that you may not be able to exercise your right to direct how the Class A common shares underlying your ADSs are voted and you may have no legal remedy if the Class A common shares underlying your ADSs are not voted as you requested.</w:t>
      </w:r>
    </w:p>
    <w:p>
      <w:pPr>
        <w:spacing w:after="0" w:line="260" w:lineRule="exact"/>
        <w:rPr>
          <w:sz w:val="20"/>
          <w:szCs w:val="20"/>
          <w:color w:val="auto"/>
        </w:rPr>
      </w:pPr>
    </w:p>
    <w:p>
      <w:pPr>
        <w:ind w:left="700" w:right="14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The depositary will give us a discretionary proxy to vote the Class A common shares underlying your ADSs if you do not give voting instructions to the depositary to direct how the Class A common shares underlying your ADSs are voted, except in limited circumstances, which could adversely affect your interests.</w:t>
      </w:r>
    </w:p>
    <w:p>
      <w:pPr>
        <w:spacing w:after="0" w:line="58" w:lineRule="exact"/>
        <w:rPr>
          <w:sz w:val="20"/>
          <w:szCs w:val="20"/>
          <w:color w:val="auto"/>
        </w:rPr>
      </w:pPr>
    </w:p>
    <w:p>
      <w:pPr>
        <w:ind w:left="700" w:right="400" w:firstLine="393"/>
        <w:spacing w:after="0" w:line="267" w:lineRule="auto"/>
        <w:rPr>
          <w:sz w:val="20"/>
          <w:szCs w:val="20"/>
          <w:color w:val="auto"/>
        </w:rPr>
      </w:pPr>
      <w:r>
        <w:rPr>
          <w:rFonts w:ascii="Times New Roman" w:cs="Times New Roman" w:eastAsia="Times New Roman" w:hAnsi="Times New Roman"/>
          <w:sz w:val="16"/>
          <w:szCs w:val="16"/>
          <w:color w:val="auto"/>
        </w:rPr>
        <w:t>Under the deposit agreement for the ADSs, if you do not give voting instructions to the depositary to direct how the Class A common shares underlying your ADSs are voted, the depositary will give us a discretionary proxy to vote the Class A common shares underlying your ADSs at shareholders’ meetings unless:</w:t>
      </w:r>
    </w:p>
    <w:p>
      <w:pPr>
        <w:spacing w:after="0" w:line="73" w:lineRule="exact"/>
        <w:rPr>
          <w:sz w:val="20"/>
          <w:szCs w:val="20"/>
          <w:color w:val="auto"/>
        </w:rPr>
      </w:pPr>
    </w:p>
    <w:p>
      <w:pPr>
        <w:ind w:left="1580" w:hanging="391"/>
        <w:spacing w:after="0"/>
        <w:tabs>
          <w:tab w:leader="none" w:pos="1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failed to timely provide the depositary with notice of meeting and related voting materials;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instructed the depositary that we do not wish a discretionary proxy to be given;</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informed the depositary that there is substantial opposition as to a matter to be voted on at the meeting;</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matter to be voted on at the meeting would have a material adverse impact on shareholders; or</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voting at the meeting is to be made on a show of hands.</w:t>
      </w:r>
    </w:p>
    <w:p>
      <w:pPr>
        <w:spacing w:after="0" w:line="202" w:lineRule="exact"/>
        <w:rPr>
          <w:sz w:val="20"/>
          <w:szCs w:val="20"/>
          <w:color w:val="auto"/>
        </w:rPr>
      </w:pPr>
    </w:p>
    <w:p>
      <w:pPr>
        <w:ind w:left="700" w:right="120" w:firstLine="393"/>
        <w:spacing w:after="0" w:line="262" w:lineRule="auto"/>
        <w:rPr>
          <w:sz w:val="20"/>
          <w:szCs w:val="20"/>
          <w:color w:val="auto"/>
        </w:rPr>
      </w:pPr>
      <w:r>
        <w:rPr>
          <w:rFonts w:ascii="Times New Roman" w:cs="Times New Roman" w:eastAsia="Times New Roman" w:hAnsi="Times New Roman"/>
          <w:sz w:val="16"/>
          <w:szCs w:val="16"/>
          <w:color w:val="auto"/>
        </w:rPr>
        <w:t>The effect of this discretionary proxy is that if you do not give voting instructions to the depositary to direct how the Class A common shares underlying your ADSs are voted, you cannot prevent the Class A common shares underlying your ADSs from being voted, except under the circumstances described above. This may make it more difficult for shareholders to influence the management of our company. Holders of our Class A common shares are not subject to this discretionary proxy.</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10520"/>
          </w:cols>
          <w:pgMar w:left="320" w:top="447" w:right="10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Your right to participate in any future rights offerings may be limited, which may cause dilution to your holdings.</w:t>
      </w:r>
    </w:p>
    <w:p>
      <w:pPr>
        <w:spacing w:after="0" w:line="109" w:lineRule="exact"/>
        <w:rPr>
          <w:sz w:val="20"/>
          <w:szCs w:val="20"/>
          <w:color w:val="auto"/>
        </w:rPr>
      </w:pPr>
    </w:p>
    <w:p>
      <w:pPr>
        <w:ind w:left="700" w:right="60" w:firstLine="393"/>
        <w:spacing w:after="0" w:line="256" w:lineRule="auto"/>
        <w:rPr>
          <w:sz w:val="20"/>
          <w:szCs w:val="20"/>
          <w:color w:val="auto"/>
        </w:rPr>
      </w:pPr>
      <w:r>
        <w:rPr>
          <w:rFonts w:ascii="Times New Roman" w:cs="Times New Roman" w:eastAsia="Times New Roman" w:hAnsi="Times New Roman"/>
          <w:sz w:val="16"/>
          <w:szCs w:val="16"/>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and may experience dilution in your holdings.</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You may not receive cash dividends if the depositary decides it is impractical to make them available to you.</w:t>
      </w:r>
    </w:p>
    <w:p>
      <w:pPr>
        <w:spacing w:after="0" w:line="109" w:lineRule="exact"/>
        <w:rPr>
          <w:sz w:val="20"/>
          <w:szCs w:val="20"/>
          <w:color w:val="auto"/>
        </w:rPr>
      </w:pPr>
    </w:p>
    <w:p>
      <w:pPr>
        <w:ind w:left="700" w:right="80" w:firstLine="393"/>
        <w:spacing w:after="0" w:line="256" w:lineRule="auto"/>
        <w:rPr>
          <w:sz w:val="20"/>
          <w:szCs w:val="20"/>
          <w:color w:val="auto"/>
        </w:rPr>
      </w:pPr>
      <w:r>
        <w:rPr>
          <w:rFonts w:ascii="Times New Roman" w:cs="Times New Roman" w:eastAsia="Times New Roman" w:hAnsi="Times New Roman"/>
          <w:sz w:val="16"/>
          <w:szCs w:val="16"/>
          <w:color w:val="auto"/>
        </w:rPr>
        <w:t>The depositary will pay cash dividends on the ADSs only to the extent that we decide to distribute dividends on our Class A common shares or other deposited securities, and we do not have any present plan to pay any cash dividends on our Class A common shares in the foreseeable future. To the extent that there is a distribution, the depositary of our ADSs has agreed to pay to you the cash dividends or other distributions it or the custodian receives on our Class A common shares or other deposited securities after deducting its fees and expenses. You will receive these distributions in proportion to the number of Class A common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258" w:lineRule="exact"/>
        <w:rPr>
          <w:sz w:val="20"/>
          <w:szCs w:val="20"/>
          <w:color w:val="auto"/>
        </w:rPr>
      </w:pPr>
    </w:p>
    <w:p>
      <w:pPr>
        <w:ind w:left="700" w:right="8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and the depository are entitled to amend the deposit agreement and to change the rights of ADS holders under the terms of such agreement, and we may terminate the deposit agreement, without the prior consent of the ADS holders.</w:t>
      </w:r>
    </w:p>
    <w:p>
      <w:pPr>
        <w:spacing w:after="0" w:line="43"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We and the depository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are disadvantageous to ADS holders, ADS holders will only receive 30 days’ advance notice of the amendment, and no prior consent of the ADS holders is required under the deposit agreement. Furthermore, we may decide to terminate the ADS facility at any time for any reason. For example, terminations may occur when we decide to list our shares on a non-U.S. securities exchange and determine not to continue to sponsor an ADS facility or when we become the subject of a takeover or a going-private transaction.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Class A common shares, but will have no right to any compensation whatsoever.</w:t>
      </w:r>
    </w:p>
    <w:p>
      <w:pPr>
        <w:spacing w:after="0" w:line="264" w:lineRule="exact"/>
        <w:rPr>
          <w:sz w:val="20"/>
          <w:szCs w:val="20"/>
          <w:color w:val="auto"/>
        </w:rPr>
      </w:pPr>
    </w:p>
    <w:p>
      <w:pPr>
        <w:ind w:left="700" w:right="3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ADSs holders may not be entitled to a jury trial with respect to claims arising under the deposit agreement or relating to our shares or the ADSs, which could result in less favorable outcomes to the plaintiff(s) in any such action.</w:t>
      </w:r>
    </w:p>
    <w:p>
      <w:pPr>
        <w:spacing w:after="0" w:line="43" w:lineRule="exact"/>
        <w:rPr>
          <w:sz w:val="20"/>
          <w:szCs w:val="20"/>
          <w:color w:val="auto"/>
        </w:rPr>
      </w:pPr>
    </w:p>
    <w:p>
      <w:pPr>
        <w:ind w:left="700" w:right="240" w:firstLine="393"/>
        <w:spacing w:after="0" w:line="267" w:lineRule="auto"/>
        <w:rPr>
          <w:sz w:val="20"/>
          <w:szCs w:val="20"/>
          <w:color w:val="auto"/>
        </w:rPr>
      </w:pPr>
      <w:r>
        <w:rPr>
          <w:rFonts w:ascii="Times New Roman" w:cs="Times New Roman" w:eastAsia="Times New Roman" w:hAnsi="Times New Roman"/>
          <w:sz w:val="16"/>
          <w:szCs w:val="16"/>
          <w:color w:val="auto"/>
        </w:rPr>
        <w:t>The deposit agreement governing the ADSs representing our Class A common shares provides that, to the fullest extent permitted by law, ADS holders waive the right to a jury trial of any claim that they may have against us or the depositary arising out of or relating to our Class A common shares, our ADSs or the deposit agreement, including any claim under the U.S. federal securities laws.</w:t>
      </w:r>
    </w:p>
    <w:p>
      <w:pPr>
        <w:spacing w:after="0" w:line="157"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our ADSs. It is advisable that you consult legal counsel regarding the jury waiver provision before entering into the deposit agreement.</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10540"/>
          </w:cols>
          <w:pgMar w:left="320" w:top="447" w:right="10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If you or any other holders or beneficial owners of ADSs bring a claim against us or the depositary in connection with matters arising under the deposit agreement or our ADSs, including claims under federal securities laws, you or such other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63" w:lineRule="exact"/>
        <w:rPr>
          <w:sz w:val="20"/>
          <w:szCs w:val="20"/>
          <w:color w:val="auto"/>
        </w:rPr>
      </w:pPr>
    </w:p>
    <w:p>
      <w:pPr>
        <w:ind w:left="700" w:right="80" w:firstLine="393"/>
        <w:spacing w:after="0" w:line="262" w:lineRule="auto"/>
        <w:rPr>
          <w:sz w:val="20"/>
          <w:szCs w:val="20"/>
          <w:color w:val="auto"/>
        </w:rPr>
      </w:pPr>
      <w:r>
        <w:rPr>
          <w:rFonts w:ascii="Times New Roman" w:cs="Times New Roman" w:eastAsia="Times New Roman" w:hAnsi="Times New Roman"/>
          <w:sz w:val="16"/>
          <w:szCs w:val="16"/>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You may be subject to limitations on transfer of your ADSs.</w:t>
      </w:r>
    </w:p>
    <w:p>
      <w:pPr>
        <w:spacing w:after="0" w:line="109"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Your ADSs are transferable on the books of the depositary. However, the depositary may close its books at any time or from time to time when it deems it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Certain judgments obtained against us by our shareholders may not be enforceable.</w:t>
      </w:r>
    </w:p>
    <w:p>
      <w:pPr>
        <w:spacing w:after="0" w:line="109"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We are an exempted company incorporated under the laws of the Cayman Islands. We conduct our operations outside the United States and substantially all of our assets are located outside the United States. In addition, substantially all of our directors and executive officers and the experts named in this annual report reside outside the United States, and most of their assets are located outside the United States. As a result, it may be difficult or impossible for you to bring an action against us or against them in the United States in the event that you believe that your rights have been infringed under the U.S. federal securities laws or otherwise. Legal claims, including federal securities law claims, against China-based Issuers, or their directors and officers based in China, may be difficult or impossible for investors to pursue in U.S. courts. Even if you are successful in bringing an action of this kind, the laws of the Cayman Islands, the PRC or other relevant jurisdiction may render you unable to enforce a judgment against our assets or the assets of our directors and officers. Especially given the related assets or persons are located in China, a jurisdiction that may not recognize or enforce U.S. judgments. In that case, you may have to rely on legal claims and remedies available in China, where we and our directors and officers maintain substantially all of our assets. The claims and remedies available in these jurisdictions are significantly different from those available in the United States and are difficult to pursue. For risks relating to enforcing foreign judgments or bringing actions in China against us or our directors and officers, see Item 3. Key Information—D. Risk Factors—Risks Relating to Doing Business in China—You may experience difficulties in effecting service of legal process, enforcing foreign judgments or bringing actions in China against us or our directors and management named in the annual report based on foreign laws.”</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10520"/>
          </w:cols>
          <w:pgMar w:left="320" w:top="447" w:right="10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3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43" w:lineRule="exact"/>
        <w:rPr>
          <w:sz w:val="20"/>
          <w:szCs w:val="20"/>
          <w:color w:val="auto"/>
        </w:rPr>
      </w:pPr>
    </w:p>
    <w:p>
      <w:pPr>
        <w:ind w:left="700" w:right="40" w:firstLine="393"/>
        <w:spacing w:after="0" w:line="255" w:lineRule="auto"/>
        <w:rPr>
          <w:sz w:val="20"/>
          <w:szCs w:val="20"/>
          <w:color w:val="auto"/>
        </w:rPr>
      </w:pPr>
      <w:r>
        <w:rPr>
          <w:rFonts w:ascii="Times New Roman" w:cs="Times New Roman" w:eastAsia="Times New Roman" w:hAnsi="Times New Roman"/>
          <w:sz w:val="16"/>
          <w:szCs w:val="16"/>
          <w:color w:val="auto"/>
        </w:rPr>
        <w:t>We are an exempted company incorporated under the laws of the Cayman Islands. Our corporate affairs are governed by, among other things, our memorandum and articles of association, the Companies Act and the common law of the Cayman Islands. The rights of shareholders to take action against our directors, actions by our minority shareholders and the fiduciary duties of our directors to us under the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66" w:lineRule="exact"/>
        <w:rPr>
          <w:sz w:val="20"/>
          <w:szCs w:val="20"/>
          <w:color w:val="auto"/>
        </w:rPr>
      </w:pPr>
    </w:p>
    <w:p>
      <w:pPr>
        <w:ind w:left="700" w:right="60" w:firstLine="393"/>
        <w:spacing w:after="0" w:line="256" w:lineRule="auto"/>
        <w:rPr>
          <w:sz w:val="20"/>
          <w:szCs w:val="20"/>
          <w:color w:val="auto"/>
        </w:rPr>
      </w:pPr>
      <w:r>
        <w:rPr>
          <w:rFonts w:ascii="Times New Roman" w:cs="Times New Roman" w:eastAsia="Times New Roman" w:hAnsi="Times New Roman"/>
          <w:sz w:val="16"/>
          <w:szCs w:val="16"/>
          <w:color w:val="auto"/>
        </w:rPr>
        <w:t>Under Cayman Islands law, the notice of registered office is a matter of public record. A list of the names of the current directors and alternate directors (if applicable) are made available by the Registrar of Companies in the Cayman Islands for inspection by any person on payment of a fee. The register of mortgages is open to inspection by creditors and members of the company. Shareholders of Cayman Islands companies like us have no general rights under the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69" w:lineRule="exact"/>
        <w:rPr>
          <w:sz w:val="20"/>
          <w:szCs w:val="20"/>
          <w:color w:val="auto"/>
        </w:rPr>
      </w:pPr>
    </w:p>
    <w:p>
      <w:pPr>
        <w:ind w:left="700" w:right="160" w:firstLine="393"/>
        <w:spacing w:after="0" w:line="262" w:lineRule="auto"/>
        <w:rPr>
          <w:sz w:val="20"/>
          <w:szCs w:val="20"/>
          <w:color w:val="auto"/>
        </w:rPr>
      </w:pPr>
      <w:r>
        <w:rPr>
          <w:rFonts w:ascii="Times New Roman" w:cs="Times New Roman" w:eastAsia="Times New Roman" w:hAnsi="Times New Roman"/>
          <w:sz w:val="16"/>
          <w:szCs w:val="16"/>
          <w:color w:val="auto"/>
        </w:rPr>
        <w:t>Certain corporate governance practices in the Cayman Islands, which is our home country, differ significantly from requirements for companies incorporated in other jurisdictions such as the United States. We may in the future rely on home country practice with respect to our corporate governance. If we choose to follow home country practice in the future, our shareholders may be afforded less protection than they otherwise would under rules and regulations applicable to U.S. domestic issuers.</w:t>
      </w:r>
    </w:p>
    <w:p>
      <w:pPr>
        <w:spacing w:after="0" w:line="161" w:lineRule="exact"/>
        <w:rPr>
          <w:sz w:val="20"/>
          <w:szCs w:val="20"/>
          <w:color w:val="auto"/>
        </w:rPr>
      </w:pPr>
    </w:p>
    <w:p>
      <w:pPr>
        <w:ind w:left="700" w:right="200" w:firstLine="393"/>
        <w:spacing w:after="0" w:line="267" w:lineRule="auto"/>
        <w:rPr>
          <w:sz w:val="20"/>
          <w:szCs w:val="20"/>
          <w:color w:val="auto"/>
        </w:rPr>
      </w:pPr>
      <w:r>
        <w:rPr>
          <w:rFonts w:ascii="Times New Roman" w:cs="Times New Roman" w:eastAsia="Times New Roman" w:hAnsi="Times New Roman"/>
          <w:sz w:val="16"/>
          <w:szCs w:val="16"/>
          <w:color w:val="auto"/>
        </w:rPr>
        <w:t>As a result of all of the above,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spacing w:after="0" w:line="250" w:lineRule="exact"/>
        <w:rPr>
          <w:sz w:val="20"/>
          <w:szCs w:val="20"/>
          <w:color w:val="auto"/>
        </w:rPr>
      </w:pPr>
    </w:p>
    <w:p>
      <w:pPr>
        <w:ind w:left="700" w:right="1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You must rely on the judgment of our management as to the use of the net proceeds from our initial public offering, and such use may not produce income or increase our ADS price.</w:t>
      </w:r>
    </w:p>
    <w:p>
      <w:pPr>
        <w:spacing w:after="0" w:line="43" w:lineRule="exact"/>
        <w:rPr>
          <w:sz w:val="20"/>
          <w:szCs w:val="20"/>
          <w:color w:val="auto"/>
        </w:rPr>
      </w:pPr>
    </w:p>
    <w:p>
      <w:pPr>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Our management will have considerable discretion in the application of the net proceeds received by us. You will not have the opportunity, as part of your investment decision, to assess whether proceeds are being used appropriately. The net proceeds may be used for corporate purposes that do not improve our efforts to achieve or maintain profitability or increase our ADS price. The net proceeds from our initial public offering may be placed in investments that do not produce income or that lose value.</w:t>
      </w:r>
    </w:p>
    <w:p>
      <w:pPr>
        <w:spacing w:after="0" w:line="2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It may be difficult for overseas regulators to conduct investigation or collect evidence within China.</w:t>
      </w:r>
    </w:p>
    <w:p>
      <w:pPr>
        <w:spacing w:after="0" w:line="109"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litigations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which became effective in March 2020, no overseas securities regulator is allowed to directly conduct investigation or evidence collection activities within the PRC territory. While detailed interpretation of or implementation rules under Article 177 have yet to be promulgated, the inability for an overseas securities regulator to directly conduct investigation or evidence collection activities within China may further increase the difficulties you face in protecting your interests. See also “—Risks Relating to Our ADSs—You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10500"/>
          </w:cols>
          <w:pgMar w:left="320" w:top="447" w:right="10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Our memorandum and articles of association contains anti-takeover provisions that could discourage a third party from acquiring us and adversely affect the rights of holders of our Class A common shares and ADSs.</w:t>
      </w:r>
    </w:p>
    <w:p>
      <w:pPr>
        <w:spacing w:after="0" w:line="43" w:lineRule="exact"/>
        <w:rPr>
          <w:sz w:val="20"/>
          <w:szCs w:val="20"/>
          <w:color w:val="auto"/>
        </w:rPr>
      </w:pPr>
    </w:p>
    <w:p>
      <w:pPr>
        <w:ind w:left="700" w:right="40" w:firstLine="393"/>
        <w:spacing w:after="0" w:line="259" w:lineRule="auto"/>
        <w:rPr>
          <w:sz w:val="20"/>
          <w:szCs w:val="20"/>
          <w:color w:val="auto"/>
        </w:rPr>
      </w:pPr>
      <w:r>
        <w:rPr>
          <w:rFonts w:ascii="Times New Roman" w:cs="Times New Roman" w:eastAsia="Times New Roman" w:hAnsi="Times New Roman"/>
          <w:sz w:val="16"/>
          <w:szCs w:val="16"/>
          <w:color w:val="auto"/>
        </w:rPr>
        <w:t>Our currently effective memorandum and articles of association contains certain provisions that could limit the ability of others to acquire control of our company, including a provision that grants authority to our board of directors to issue from time to time one or more series of preferred shares without action by our shareholders and to determine, with respect to any series of preferred shares, the terms and rights of that series. These provisions could have the effect of depriving our shareholders and ADS holders of the opportunity to sell their shares or ADSs at a premium over the prevailing market price by discouraging third parties from seeking to obtain control of our company in a tender offer or similar transactions.</w:t>
      </w:r>
    </w:p>
    <w:p>
      <w:pPr>
        <w:spacing w:after="0" w:line="2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and may take advantage of certain reduced reporting requirements.</w:t>
      </w:r>
    </w:p>
    <w:p>
      <w:pPr>
        <w:spacing w:after="0" w:line="109"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and we may take advantage of certain exemptions from various requirements applicable to other public companies that are not emerging growth companies including, most significantly, not being required to comply with the auditor attestation requirements of Section 404 of Sarbanes-Oxley Act of 2002 for so long as we are an emerging growth company. As a result, if we elect not to comply with such auditor attestation requirements, our investors may not have access to certain information they may deem important.</w:t>
      </w:r>
    </w:p>
    <w:p>
      <w:pPr>
        <w:spacing w:after="0" w:line="161" w:lineRule="exact"/>
        <w:rPr>
          <w:sz w:val="20"/>
          <w:szCs w:val="20"/>
          <w:color w:val="auto"/>
        </w:rPr>
      </w:pPr>
    </w:p>
    <w:p>
      <w:pPr>
        <w:jc w:val="both"/>
        <w:ind w:left="700" w:right="140" w:firstLine="393"/>
        <w:spacing w:after="0" w:line="267" w:lineRule="auto"/>
        <w:rPr>
          <w:sz w:val="20"/>
          <w:szCs w:val="20"/>
          <w:color w:val="auto"/>
        </w:rPr>
      </w:pPr>
      <w:r>
        <w:rPr>
          <w:rFonts w:ascii="Times New Roman" w:cs="Times New Roman" w:eastAsia="Times New Roman" w:hAnsi="Times New Roman"/>
          <w:sz w:val="16"/>
          <w:szCs w:val="16"/>
          <w:color w:val="auto"/>
        </w:rPr>
        <w:t>The JOBS Act also provides that an emerging growth company does not need to comply with any new or revised financial accounting standards until such date that a private company is otherwise required to comply with such new or revised accounting standards. Further, as an emerging growth company, we elect to use the extended transition period for complying with new or revised financial accounting standards.</w:t>
      </w:r>
    </w:p>
    <w:p>
      <w:pPr>
        <w:spacing w:after="0" w:line="250" w:lineRule="exact"/>
        <w:rPr>
          <w:sz w:val="20"/>
          <w:szCs w:val="20"/>
          <w:color w:val="auto"/>
        </w:rPr>
      </w:pPr>
    </w:p>
    <w:p>
      <w:pPr>
        <w:ind w:left="700" w:right="5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43" w:lineRule="exact"/>
        <w:rPr>
          <w:sz w:val="20"/>
          <w:szCs w:val="20"/>
          <w:color w:val="auto"/>
        </w:rPr>
      </w:pPr>
    </w:p>
    <w:p>
      <w:pPr>
        <w:ind w:left="700" w:right="620" w:firstLine="393"/>
        <w:spacing w:after="0" w:line="284" w:lineRule="auto"/>
        <w:rPr>
          <w:sz w:val="20"/>
          <w:szCs w:val="20"/>
          <w:color w:val="auto"/>
        </w:rPr>
      </w:pPr>
      <w:r>
        <w:rPr>
          <w:rFonts w:ascii="Times New Roman" w:cs="Times New Roman" w:eastAsia="Times New Roman" w:hAnsi="Times New Roman"/>
          <w:sz w:val="16"/>
          <w:szCs w:val="16"/>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59" w:lineRule="exact"/>
        <w:rPr>
          <w:sz w:val="20"/>
          <w:szCs w:val="20"/>
          <w:color w:val="auto"/>
        </w:rPr>
      </w:pPr>
    </w:p>
    <w:p>
      <w:pPr>
        <w:ind w:left="1580" w:hanging="391"/>
        <w:spacing w:after="0"/>
        <w:tabs>
          <w:tab w:leader="none" w:pos="15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6"/>
          <w:szCs w:val="16"/>
          <w:color w:val="auto"/>
        </w:rPr>
      </w:pPr>
    </w:p>
    <w:p>
      <w:pPr>
        <w:ind w:left="1580" w:right="80" w:hanging="391"/>
        <w:spacing w:after="0" w:line="284" w:lineRule="auto"/>
        <w:tabs>
          <w:tab w:leader="none" w:pos="15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regulating the solicitation of proxies, consents, or authorizations in respect of a security registered under the Exchange Act;</w:t>
      </w:r>
    </w:p>
    <w:p>
      <w:pPr>
        <w:spacing w:after="0" w:line="58" w:lineRule="exact"/>
        <w:rPr>
          <w:rFonts w:ascii="Times New Roman" w:cs="Times New Roman" w:eastAsia="Times New Roman" w:hAnsi="Times New Roman"/>
          <w:sz w:val="16"/>
          <w:szCs w:val="16"/>
          <w:color w:val="auto"/>
        </w:rPr>
      </w:pPr>
    </w:p>
    <w:p>
      <w:pPr>
        <w:ind w:left="1580" w:right="280" w:hanging="391"/>
        <w:spacing w:after="0" w:line="284" w:lineRule="auto"/>
        <w:tabs>
          <w:tab w:leader="none" w:pos="15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requiring insiders to file public reports of their stock ownership and trading activities and liability for insiders who profit from trades made in a short period of time; and</w:t>
      </w:r>
    </w:p>
    <w:p>
      <w:pPr>
        <w:spacing w:after="0" w:line="58"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selective disclosure rules by issuers of material non-public information under Regulation FD.</w:t>
      </w:r>
    </w:p>
    <w:p>
      <w:pPr>
        <w:spacing w:after="0" w:line="202" w:lineRule="exact"/>
        <w:rPr>
          <w:sz w:val="20"/>
          <w:szCs w:val="20"/>
          <w:color w:val="auto"/>
        </w:rPr>
      </w:pPr>
    </w:p>
    <w:p>
      <w:pPr>
        <w:ind w:left="700" w:right="80" w:firstLine="393"/>
        <w:spacing w:after="0" w:line="259" w:lineRule="auto"/>
        <w:rPr>
          <w:sz w:val="20"/>
          <w:szCs w:val="20"/>
          <w:color w:val="auto"/>
        </w:rPr>
      </w:pPr>
      <w:r>
        <w:rPr>
          <w:rFonts w:ascii="Times New Roman" w:cs="Times New Roman" w:eastAsia="Times New Roman" w:hAnsi="Times New Roman"/>
          <w:sz w:val="16"/>
          <w:szCs w:val="16"/>
          <w:color w:val="auto"/>
        </w:rPr>
        <w:t>We are required to file an annual report on Form 20-F within four months of the end of each fiscal year. In addition, we intend to publish our results on a quarterly basis as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10500"/>
          </w:cols>
          <w:pgMar w:left="320" w:top="447" w:right="10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16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As an exempted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the Nasdaq listing standards.</w:t>
      </w:r>
    </w:p>
    <w:p>
      <w:pPr>
        <w:spacing w:after="0" w:line="58" w:lineRule="exact"/>
        <w:rPr>
          <w:sz w:val="20"/>
          <w:szCs w:val="20"/>
          <w:color w:val="auto"/>
        </w:rPr>
      </w:pPr>
    </w:p>
    <w:p>
      <w:pPr>
        <w:ind w:left="700" w:right="120" w:firstLine="393"/>
        <w:spacing w:after="0" w:line="255" w:lineRule="auto"/>
        <w:rPr>
          <w:sz w:val="20"/>
          <w:szCs w:val="20"/>
          <w:color w:val="auto"/>
        </w:rPr>
      </w:pPr>
      <w:r>
        <w:rPr>
          <w:rFonts w:ascii="Times New Roman" w:cs="Times New Roman" w:eastAsia="Times New Roman" w:hAnsi="Times New Roman"/>
          <w:sz w:val="16"/>
          <w:szCs w:val="16"/>
          <w:color w:val="auto"/>
        </w:rPr>
        <w:t>As a Cayman Islands exempted company listed on the Nasdaq Global Market, we are subject to the Nasdaq Stock Market corporate governance listing standards. However, the Nasdaq Stock Market Rules permit a foreign private issuer like us to follow the corporate governance practices of its home country. Certain corporate governance practices in the Cayman Islands, which is our home country, may differ significantly from the Nasdaq Stock Market corporate governance listing standards. We have relied on the exemption available to foreign private issuers for the requirement under Nasdaq Rule 5635(c) that shareholders’ approval must be obtained prior to the issuance of securities when a stock option or purchase plan is to be established or materially amended or when other equity compensation arrangement is to be made or materially amended, pursuant to which stock may be acquired by officers, directors, employees, or consultants. We have elected to follow our home country practice and did not obtain shareholders’ approval for the material amendment to our 2019 Plan. If we continue to rely on this and other exemptions available to foreign private issuers in the future, our shareholders may be afforded less protection than they otherwise would under the Nasdaq corporate governance listing standards applicable to U.S. domestic issuers.</w:t>
      </w:r>
    </w:p>
    <w:p>
      <w:pPr>
        <w:spacing w:after="0" w:line="258" w:lineRule="exact"/>
        <w:rPr>
          <w:sz w:val="20"/>
          <w:szCs w:val="20"/>
          <w:color w:val="auto"/>
        </w:rPr>
      </w:pPr>
    </w:p>
    <w:p>
      <w:pPr>
        <w:ind w:left="700" w:right="6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are and may continue to be a “controlled company” within the meaning of the Nasdaq Stock Market Rules and, as a result, may rely on exemptions from certain corporate governance requirements that provide protection to shareholders of other companies.</w:t>
      </w:r>
    </w:p>
    <w:p>
      <w:pPr>
        <w:spacing w:after="0" w:line="43" w:lineRule="exact"/>
        <w:rPr>
          <w:sz w:val="20"/>
          <w:szCs w:val="20"/>
          <w:color w:val="auto"/>
        </w:rPr>
      </w:pPr>
    </w:p>
    <w:p>
      <w:pPr>
        <w:ind w:left="700" w:right="40" w:firstLine="393"/>
        <w:spacing w:after="0" w:line="262" w:lineRule="auto"/>
        <w:rPr>
          <w:sz w:val="20"/>
          <w:szCs w:val="20"/>
          <w:color w:val="auto"/>
        </w:rPr>
      </w:pPr>
      <w:r>
        <w:rPr>
          <w:rFonts w:ascii="Times New Roman" w:cs="Times New Roman" w:eastAsia="Times New Roman" w:hAnsi="Times New Roman"/>
          <w:sz w:val="16"/>
          <w:szCs w:val="16"/>
          <w:color w:val="auto"/>
        </w:rPr>
        <w:t>We are a “controlled company” as defined under the Nasdaq Stock Market Rules because Mr. Cunjun Ma, the chairman of our board of directors and our chief executive officer, owns more than 50% of our total voting power. For so long as we remain a controlled company under that definition, we are permitted to elect to rely, and may rely, on certain exemptions from corporate governance rules. As a result, you may not have the same protection afforded to shareholders of companies that are subject to these corporate governance requirements.</w:t>
      </w:r>
    </w:p>
    <w:p>
      <w:pPr>
        <w:spacing w:after="0" w:line="253" w:lineRule="exact"/>
        <w:rPr>
          <w:sz w:val="20"/>
          <w:szCs w:val="20"/>
          <w:color w:val="auto"/>
        </w:rPr>
      </w:pPr>
    </w:p>
    <w:p>
      <w:pPr>
        <w:jc w:val="both"/>
        <w:ind w:left="70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There can be no assurance that we will not be a passive foreign investment company, or PFIC, for United States federal income tax purposes for any taxable year, which could subject United States investors in our ADSs or Class A common shares to significant adverse United States federal income tax consequences.</w:t>
      </w:r>
    </w:p>
    <w:p>
      <w:pPr>
        <w:spacing w:after="0" w:line="58" w:lineRule="exact"/>
        <w:rPr>
          <w:sz w:val="20"/>
          <w:szCs w:val="20"/>
          <w:color w:val="auto"/>
        </w:rPr>
      </w:pPr>
    </w:p>
    <w:p>
      <w:pPr>
        <w:ind w:left="700" w:right="20" w:firstLine="393"/>
        <w:spacing w:after="0" w:line="258" w:lineRule="auto"/>
        <w:rPr>
          <w:sz w:val="20"/>
          <w:szCs w:val="20"/>
          <w:color w:val="auto"/>
        </w:rPr>
      </w:pPr>
      <w:r>
        <w:rPr>
          <w:rFonts w:ascii="Times New Roman" w:cs="Times New Roman" w:eastAsia="Times New Roman" w:hAnsi="Times New Roman"/>
          <w:sz w:val="16"/>
          <w:szCs w:val="16"/>
          <w:color w:val="auto"/>
        </w:rPr>
        <w:t>We will be classified as a passive foreign investment company, or PFIC, for United States federal income tax purposes for any taxable year if either (a) 75% or more of our gross income for such year consists of certain types of “passive” income (the “income test”) or (b) 50% or more of the value of our assets (generally determined on the basis of a quarterly average) during such year is attributable to assets that produce or are held for the production of passive income (the “asset test”). Although the law in this regard is unclear, we intend to treat the VIE (including its subsidiaries) as being owned by us for United States federal income tax purposes because we exercise effective control over the operation of such entities and because we are entitled to substantially all of their economic benefits, and, as a result, we consolidate their results of operations in our consolidated financial statements.</w:t>
      </w:r>
    </w:p>
    <w:p>
      <w:pPr>
        <w:spacing w:after="0" w:line="163" w:lineRule="exact"/>
        <w:rPr>
          <w:sz w:val="20"/>
          <w:szCs w:val="20"/>
          <w:color w:val="auto"/>
        </w:rPr>
      </w:pPr>
    </w:p>
    <w:p>
      <w:pPr>
        <w:ind w:left="700" w:right="20" w:firstLine="393"/>
        <w:spacing w:after="0" w:line="254" w:lineRule="auto"/>
        <w:rPr>
          <w:sz w:val="20"/>
          <w:szCs w:val="20"/>
          <w:color w:val="auto"/>
        </w:rPr>
      </w:pPr>
      <w:r>
        <w:rPr>
          <w:rFonts w:ascii="Times New Roman" w:cs="Times New Roman" w:eastAsia="Times New Roman" w:hAnsi="Times New Roman"/>
          <w:sz w:val="16"/>
          <w:szCs w:val="16"/>
          <w:color w:val="auto"/>
        </w:rPr>
        <w:t>Assuming that we are the owner of the VIE (including its subsidiaries) for United States federal income tax purposes, we do not believe we were a PFIC for the taxable year ended December 31, 2022, and based upon our current income and assets, including goodwill and other unbooked intangibles not reflected on our balance sheet, and the value of our ADSs, we do not anticipate becoming a PFIC in the current taxable year or in the foreseeable future. While we do not expect to become a PFIC, because the value of our assets for purposes of the asset test may be determined by reference to the market price of our ADSs, fluctuations in the market price of our ADSs may cause us to become a PFIC for the current or subsequent taxable years. In particular, recent fluctuations in the market price of our ADSs increased our risk of becoming a PFIC. The market price of our ADSs may continue to fluctuate considerably and, consequently, we cannot assure you of our PFIC status for any taxable year. The determination of whether we will be or become a PFIC for any taxable year will also depend, in part, on the composition of our income and assets, which will be affected by how, and how quickly, we use our liquid assets. If we determine not to deploy significant amounts of cash for active purposes or if it were determined that we do not own the stock of the VIE for United States federal income tax purposes, our risk of being a PFIC may substantially increase. Because there are uncertainties in the application of the relevant rules and a non-United States corporation’s PFIC status for any taxable year is a factual determination made annually after the close of each taxable year, there can be no assurance that we will not be a PFIC for the current taxable year or any future taxable year.</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10540"/>
          </w:cols>
          <w:pgMar w:left="320" w:top="447" w:right="10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jc w:val="both"/>
        <w:ind w:left="700" w:right="40" w:firstLine="393"/>
        <w:spacing w:after="0" w:line="256" w:lineRule="auto"/>
        <w:rPr>
          <w:sz w:val="20"/>
          <w:szCs w:val="20"/>
          <w:color w:val="auto"/>
        </w:rPr>
      </w:pPr>
      <w:r>
        <w:rPr>
          <w:rFonts w:ascii="Times New Roman" w:cs="Times New Roman" w:eastAsia="Times New Roman" w:hAnsi="Times New Roman"/>
          <w:sz w:val="16"/>
          <w:szCs w:val="16"/>
          <w:color w:val="auto"/>
        </w:rPr>
        <w:t>If we are a PFIC in any taxable year, a U.S. Holder (as defined in “Item 10. Additional Information—E. Taxation—United States Federal Income Tax Considerations”) may incur significantly increased United States federal income tax on gain recognized on the sale or other disposition of the ADSs or Class A common shares and on the receipt of distributions on the ADSs or Class A common shares to the extent such gain or distribution is treated as an “excess distribution” under the United States federal income tax rules, and such U.S. Holder may be subject to burdensome reporting requirements.</w:t>
      </w:r>
    </w:p>
    <w:p>
      <w:pPr>
        <w:spacing w:after="0" w:line="3" w:lineRule="exact"/>
        <w:rPr>
          <w:sz w:val="20"/>
          <w:szCs w:val="20"/>
          <w:color w:val="auto"/>
        </w:rPr>
      </w:pPr>
    </w:p>
    <w:p>
      <w:pPr>
        <w:ind w:left="700" w:right="140"/>
        <w:spacing w:after="0" w:line="257" w:lineRule="auto"/>
        <w:rPr>
          <w:sz w:val="20"/>
          <w:szCs w:val="20"/>
          <w:color w:val="auto"/>
        </w:rPr>
      </w:pPr>
      <w:r>
        <w:rPr>
          <w:rFonts w:ascii="Times New Roman" w:cs="Times New Roman" w:eastAsia="Times New Roman" w:hAnsi="Times New Roman"/>
          <w:sz w:val="16"/>
          <w:szCs w:val="16"/>
          <w:color w:val="auto"/>
        </w:rPr>
        <w:t>Further, if we are a PFIC for any taxable year during which a U.S. Holder holds our ADSs or Class A common shares, we will generally continue to be treated as a PFIC for all succeeding years during which such U.S. Holder holds our ADSs or Class A common shares. For more information see “Item 10. Additional Information—E. Taxation—United States Federal Income Tax Considerations—Passive Foreign Investment Company Considerations.”</w:t>
      </w:r>
    </w:p>
    <w:p>
      <w:pPr>
        <w:spacing w:after="0" w:line="200" w:lineRule="exact"/>
        <w:rPr>
          <w:sz w:val="20"/>
          <w:szCs w:val="20"/>
          <w:color w:val="auto"/>
        </w:rPr>
      </w:pPr>
    </w:p>
    <w:p>
      <w:pPr>
        <w:spacing w:after="0" w:line="2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We incur increased costs as a result of being a public company, particularly after we cease to qualify as an “emerging growth company.”</w:t>
      </w:r>
    </w:p>
    <w:p>
      <w:pPr>
        <w:spacing w:after="0" w:line="109"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As a public company, we incur significant legal, accounting and other expenses that we would not incur as a private company. The Sarbanes-Oxley Act of 2002, as well as rules subsequently implemented by the SEC and the Nasdaq Global Market, impose various requirements on the corporate governance practices of public companies. As a company with less than US$1.235 billion in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and permission to delay adopting new or revised accounting standards until such time as those standards apply to private companies. However, we have elected to “opt out” of the provision that allow us to delay adopting new or revised accounting standards and, as a result, we will comply with new or revised accounting standards as required when they are adopted for public companies. This decision to opt out of the extended transition period under the JOBS Act is irrevocable.</w:t>
      </w:r>
    </w:p>
    <w:p>
      <w:pPr>
        <w:spacing w:after="0" w:line="166" w:lineRule="exact"/>
        <w:rPr>
          <w:sz w:val="20"/>
          <w:szCs w:val="20"/>
          <w:color w:val="auto"/>
        </w:rPr>
      </w:pPr>
    </w:p>
    <w:p>
      <w:pPr>
        <w:ind w:left="700" w:right="20" w:firstLine="393"/>
        <w:spacing w:after="0" w:line="255" w:lineRule="auto"/>
        <w:rPr>
          <w:sz w:val="20"/>
          <w:szCs w:val="20"/>
          <w:color w:val="auto"/>
        </w:rPr>
      </w:pPr>
      <w:r>
        <w:rPr>
          <w:rFonts w:ascii="Times New Roman" w:cs="Times New Roman" w:eastAsia="Times New Roman" w:hAnsi="Times New Roman"/>
          <w:sz w:val="16"/>
          <w:szCs w:val="16"/>
          <w:color w:val="auto"/>
        </w:rPr>
        <w:t>Under these rules and regulations, as a public company, we may increase our legal and financial compliance costs and to make some corporate activities more time-consuming and costly. After we are no longer an “emerging growth company,” we expect to incur significant expenses and devote substantial management effort toward ensuring compliance with the requirements of Section 404 of the Sarbanes-Oxley Act of 2002 and the other rules and regulations of the SEC. For example, as a public company, we need to increase the number of independent directors and adopt policies regarding internal controls and disclosure controls and procedures. Operating as a public company also makes it more difficult and more expensive for us to obtain director and officer liability insurance, and we may be required to accept reduced policy limits and coverage or incur substantially higher costs to obtain the same or similar coverage. In addition, we may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66" w:lineRule="exact"/>
        <w:rPr>
          <w:sz w:val="20"/>
          <w:szCs w:val="20"/>
          <w:color w:val="auto"/>
        </w:rPr>
      </w:pPr>
    </w:p>
    <w:p>
      <w:pPr>
        <w:ind w:left="700" w:right="60" w:firstLine="393"/>
        <w:spacing w:after="0" w:line="258" w:lineRule="auto"/>
        <w:rPr>
          <w:sz w:val="20"/>
          <w:szCs w:val="20"/>
          <w:color w:val="auto"/>
        </w:rPr>
      </w:pPr>
      <w:r>
        <w:rPr>
          <w:rFonts w:ascii="Times New Roman" w:cs="Times New Roman" w:eastAsia="Times New Roman" w:hAnsi="Times New Roman"/>
          <w:sz w:val="16"/>
          <w:szCs w:val="16"/>
          <w:color w:val="auto"/>
        </w:rPr>
        <w:t>In the past, shareholders of a public company often brought securities class action suits against the company following periods of instability in the market price of that company’s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ITEM 4.INFORMATIONON THE COMPANY</w:t>
      </w:r>
    </w:p>
    <w:p>
      <w:pPr>
        <w:spacing w:after="0" w:line="117" w:lineRule="exact"/>
        <w:rPr>
          <w:sz w:val="20"/>
          <w:szCs w:val="20"/>
          <w:color w:val="auto"/>
        </w:rPr>
      </w:pPr>
    </w:p>
    <w:p>
      <w:pPr>
        <w:ind w:left="1100" w:hanging="393"/>
        <w:spacing w:after="0"/>
        <w:tabs>
          <w:tab w:leader="none" w:pos="1100" w:val="left"/>
        </w:tabs>
        <w:numPr>
          <w:ilvl w:val="0"/>
          <w:numId w:val="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History and Development of the Company</w:t>
      </w:r>
    </w:p>
    <w:p>
      <w:pPr>
        <w:spacing w:after="0" w:line="204" w:lineRule="exact"/>
        <w:rPr>
          <w:sz w:val="20"/>
          <w:szCs w:val="20"/>
          <w:color w:val="auto"/>
        </w:rPr>
      </w:pPr>
    </w:p>
    <w:p>
      <w:pPr>
        <w:ind w:left="700" w:right="40" w:firstLine="393"/>
        <w:spacing w:after="0" w:line="267" w:lineRule="auto"/>
        <w:rPr>
          <w:sz w:val="20"/>
          <w:szCs w:val="20"/>
          <w:color w:val="auto"/>
        </w:rPr>
      </w:pPr>
      <w:r>
        <w:rPr>
          <w:rFonts w:ascii="Times New Roman" w:cs="Times New Roman" w:eastAsia="Times New Roman" w:hAnsi="Times New Roman"/>
          <w:sz w:val="16"/>
          <w:szCs w:val="16"/>
          <w:color w:val="auto"/>
        </w:rPr>
        <w:t>Our founding team began operating an online insurance business under the “Huize” brand in 2006. Huize Insurance Brokerage Co., Ltd., or Huize Brokerage, formerly known as Shenzhen Huize Insurance Brokerage Co., Ltd., was established in 2011 in preparation for the launch of our platform. Mr. Cunjun Ma, the chairman of our board of directors and our chief executive officer, was our founder.</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10540"/>
          </w:cols>
          <w:pgMar w:left="320" w:top="447" w:right="10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20" w:firstLine="393"/>
        <w:spacing w:after="0" w:line="259" w:lineRule="auto"/>
        <w:rPr>
          <w:sz w:val="20"/>
          <w:szCs w:val="20"/>
          <w:color w:val="auto"/>
        </w:rPr>
      </w:pPr>
      <w:r>
        <w:rPr>
          <w:rFonts w:ascii="Times New Roman" w:cs="Times New Roman" w:eastAsia="Times New Roman" w:hAnsi="Times New Roman"/>
          <w:sz w:val="16"/>
          <w:szCs w:val="16"/>
          <w:color w:val="auto"/>
        </w:rPr>
        <w:t>In 2014, Mr. Cunjun Ma established Shenzhen Huiye Tianze Investment Holding Co., Ltd., or Huiye Tianze, together with Focus Technology Co., Ltd. as a holding company in the PRC. Huiye Tianze acquired 100% shares of Huize Brokerage in 2014. Huiye Tianze subsequently established or acquired a series of wholly owned subsidiaries in the PRC, including Huize (Chengdu) Internet Technology Co., Ltd., Shenzhen Huize Shidai Co., Ltd., or Huize Shidai, and Shenzhen Zhixuan Wealth Investment Management Co., Ltd. We have been operating our business primarily through Huiye Tianze and its subsidiaries, including Huize Brokerage and Huize Shidai, since 2014.</w:t>
      </w:r>
    </w:p>
    <w:p>
      <w:pPr>
        <w:spacing w:after="0" w:line="164"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When established, Huiye Tianze was initially owned by Mr. Cunjun Ma through his holding vehicle, and Focus Technology Co., Ltd. Huiye Tianze has completed four rounds of equity financing since its inception. In December 2014, Xiamen Siyuan Investment Management Co., Ltd. invested in Huiye Tianze. In January 2016, Mr. Cunjun Ma’s holding vehicle increased its shareholding in Huiye Tianze. In April 2016, several strategic investors, including, among others, Beijing La Ka La Internet Industrial Investment Fund LLP, Shenzhen Chuang Dong Fang Internet Financing Investment LLP and Jiaxing Weirong Investment Management Limited Partnership, invested in Huiye Tianze. In July 2016, Shenzhen Dachen Chuangkun Investment Limited Partnership invested in Huiye Tianze. In July 2018, Xinyu Dong Guang Yuan Investment Management Center LLP and Beijing La Ka La Investment Management Co., Ltd. invested in Huiye Tianze through purchasing a convertible bond issued by Huiye Tianze, a portion of which was converted to preferred shares in October 2018.</w:t>
      </w:r>
    </w:p>
    <w:p>
      <w:pPr>
        <w:spacing w:after="0" w:line="16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Our company, Huize Holding Limited, formerly known as Smart Choice Holding Limited, was established in 2014 by three shareholders:</w:t>
      </w:r>
    </w:p>
    <w:p>
      <w:pPr>
        <w:spacing w:after="0" w:line="25" w:lineRule="exact"/>
        <w:rPr>
          <w:sz w:val="20"/>
          <w:szCs w:val="20"/>
          <w:color w:val="auto"/>
        </w:rPr>
      </w:pPr>
    </w:p>
    <w:p>
      <w:pPr>
        <w:ind w:left="700" w:right="20" w:firstLine="7"/>
        <w:spacing w:after="0" w:line="254" w:lineRule="auto"/>
        <w:tabs>
          <w:tab w:leader="none" w:pos="89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Huidz Holding Limited, Mr. Cunjun Ma’s holding company incorporated in the British Virgin Islands; (ii) Crov Global Holding Limited, incorporated in the British Virgin Islands, the investment vehicle of Focus Technology Co., Ltd., an A-share listed company; and (iii) SAIF IV Hong Kong (China Investments) Limited incorporated in Hong Kong. Huize Holding Limited established Smart Choice Ventures Limited in the British Virgin Islands and Hong Kong Smart Choice Ventures Limited, or Hong Kong Smart Choice, in Hong Kong. Hong Kong Smart Choice subsequently established a wholly owned subsidiary in China, Zhixuan International Management Consulting (Shenzhen) Co., Ltd., or our WFOE, in 2015.</w:t>
      </w:r>
    </w:p>
    <w:p>
      <w:pPr>
        <w:spacing w:after="0" w:line="167"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In June 2019, in preparation of our initial public offering, we undertook a restructuring in order for shareholders of the VIE to own shares of our company, and we obtained control and became the primary beneficiary of Huiye Tianze by entering into a series of contractual arrangements with it and its shareholders through our WFOE. Due to the PRC legal restrictions on foreign ownership of internet-based businesses and qualifications requirements on foreign investors in the insurance brokerage business, we rely on these contractual arrangements to conduct a significant part of our operations in China. As a result of our equity ownership in our WFOE and the contractual arrangements with Huiye Tianze, or the VIE, and its shareholders, we are regarded as the primary beneficiary of the VIE, and we treat the VIE and its subsidiaries as a variable interest entity under U.S. GAAP. We have consolidated the financial results of the VIE and its subsidiaries in our consolidated financial statements in accordance with U.S. GAAP. In June 2019, the VIE’s shareholders became shareholders of our company through their respective holding vehicles, and the shareholders’ rights and shareholding structure are substantially identical as the previous ones of the VIE.</w:t>
      </w:r>
    </w:p>
    <w:p>
      <w:pPr>
        <w:spacing w:after="0" w:line="16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On February 11, 2020, our ADSs commenced trading on the Nasdaq Global Market under the symbol “HUIZ.” We raised approximately</w:t>
      </w:r>
    </w:p>
    <w:p>
      <w:pPr>
        <w:spacing w:after="0" w:line="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US$47.7 million in net proceeds from our initial public offering after deducting underwriting commissions and the offering expenses payable by us.</w:t>
      </w:r>
    </w:p>
    <w:p>
      <w:pPr>
        <w:spacing w:after="0" w:line="185" w:lineRule="exact"/>
        <w:rPr>
          <w:sz w:val="20"/>
          <w:szCs w:val="20"/>
          <w:color w:val="auto"/>
        </w:rPr>
      </w:pPr>
    </w:p>
    <w:p>
      <w:pPr>
        <w:ind w:left="700" w:right="100" w:firstLine="393"/>
        <w:spacing w:after="0" w:line="259" w:lineRule="auto"/>
        <w:rPr>
          <w:sz w:val="20"/>
          <w:szCs w:val="20"/>
          <w:color w:val="auto"/>
        </w:rPr>
      </w:pPr>
      <w:r>
        <w:rPr>
          <w:rFonts w:ascii="Times New Roman" w:cs="Times New Roman" w:eastAsia="Times New Roman" w:hAnsi="Times New Roman"/>
          <w:sz w:val="16"/>
          <w:szCs w:val="16"/>
          <w:color w:val="auto"/>
        </w:rPr>
        <w:t>On April 15, 2020, our board of directors authorized a share repurchase program under which we may repurchase up to US$10 million of our outstanding American depositary shares over the next 12 months, subject to relevant rules under the Securities Exchange Act of 1934, as amended, and our insider trading policy. The share repurchases may be made from time to time in the open market at prevailing market prices, in privately negotiated transactions, in block trades and/or through other legally permissible means, depending on market conditions and in accordance with applicable rules and regulations.</w:t>
      </w:r>
    </w:p>
    <w:p>
      <w:pPr>
        <w:spacing w:after="0" w:line="164" w:lineRule="exact"/>
        <w:rPr>
          <w:sz w:val="20"/>
          <w:szCs w:val="20"/>
          <w:color w:val="auto"/>
        </w:rPr>
      </w:pPr>
    </w:p>
    <w:p>
      <w:pPr>
        <w:jc w:val="both"/>
        <w:ind w:left="700" w:right="20" w:firstLine="393"/>
        <w:spacing w:after="0" w:line="255" w:lineRule="auto"/>
        <w:rPr>
          <w:sz w:val="20"/>
          <w:szCs w:val="20"/>
          <w:color w:val="auto"/>
        </w:rPr>
      </w:pPr>
      <w:r>
        <w:rPr>
          <w:rFonts w:ascii="Times New Roman" w:cs="Times New Roman" w:eastAsia="Times New Roman" w:hAnsi="Times New Roman"/>
          <w:sz w:val="16"/>
          <w:szCs w:val="16"/>
          <w:color w:val="auto"/>
        </w:rPr>
        <w:t>On August 17, 2021, our board of directors approved a management share purchase plan, pursuant to which Mr. Cunjun Ma, our chairman of the board of directors and chief executive officer, and certain other members of our management team intend to allocate their personal funds to purchase up to an aggregate of US$5 million worth of our ADSs during a six-month period, pursuant and subject to applicable laws and our securities trading policy. The management share purchase may be made from time to time in the open market at prevailing market prices, in privately negotiated transactions, in block trades and/or through other legally permissible means, depending on market conditions and in accordance with applicable rules and regulations.</w:t>
      </w:r>
    </w:p>
    <w:p>
      <w:pPr>
        <w:spacing w:after="0" w:line="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management team has agreed to be subject to lock-up restrictions for a period of six months with respect to the proposed purchased shares.</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10520"/>
          </w:cols>
          <w:pgMar w:left="320" w:top="447" w:right="10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60" w:firstLine="393"/>
        <w:spacing w:after="0" w:line="267" w:lineRule="auto"/>
        <w:rPr>
          <w:sz w:val="20"/>
          <w:szCs w:val="20"/>
          <w:color w:val="auto"/>
        </w:rPr>
      </w:pPr>
      <w:r>
        <w:rPr>
          <w:rFonts w:ascii="Times New Roman" w:cs="Times New Roman" w:eastAsia="Times New Roman" w:hAnsi="Times New Roman"/>
          <w:sz w:val="16"/>
          <w:szCs w:val="16"/>
          <w:color w:val="auto"/>
        </w:rPr>
        <w:t>In December 2021, we, through a wholly owned subsidiary of the VIE, acquired 100% equity interest in Shenzhen Detong Insurance Agency Co., Ltd., formerly known as Shanghai Senhao Insurance Agency Co., Ltd., a nationwide professional insurance agency company founded in 2015 with business networks in 11 provincial areas in China and holds a nationwide Insurance Agency License issued by the CBIRC.</w:t>
      </w:r>
    </w:p>
    <w:p>
      <w:pPr>
        <w:spacing w:after="0" w:line="157" w:lineRule="exact"/>
        <w:rPr>
          <w:sz w:val="20"/>
          <w:szCs w:val="20"/>
          <w:color w:val="auto"/>
        </w:rPr>
      </w:pPr>
    </w:p>
    <w:p>
      <w:pPr>
        <w:ind w:left="700" w:right="180" w:firstLine="393"/>
        <w:spacing w:after="0" w:line="259" w:lineRule="auto"/>
        <w:rPr>
          <w:sz w:val="20"/>
          <w:szCs w:val="20"/>
          <w:color w:val="auto"/>
        </w:rPr>
      </w:pPr>
      <w:r>
        <w:rPr>
          <w:rFonts w:ascii="Times New Roman" w:cs="Times New Roman" w:eastAsia="Times New Roman" w:hAnsi="Times New Roman"/>
          <w:sz w:val="16"/>
          <w:szCs w:val="16"/>
          <w:color w:val="auto"/>
        </w:rPr>
        <w:t>On December 31, 2021, our board of directors approved the establishment of an Environmental, Social and Governance Committee, or the ESG Committee, aimed at enhancing our ESG performance and disclosure, and sustainable development. The ESG Committee consists of the Secretary of the Board and senior management members from core operational and administrative departments. Under the supervision of the Board, the ESG Committee will be responsible for formulating ESG strategies and goals, identifying and evaluating ESG risks and impacts, and overseeing the ESG initiatives and practices of our company.</w:t>
      </w:r>
    </w:p>
    <w:p>
      <w:pPr>
        <w:spacing w:after="0" w:line="164" w:lineRule="exact"/>
        <w:rPr>
          <w:sz w:val="20"/>
          <w:szCs w:val="20"/>
          <w:color w:val="auto"/>
        </w:rPr>
      </w:pPr>
    </w:p>
    <w:p>
      <w:pPr>
        <w:ind w:left="700" w:right="120" w:firstLine="393"/>
        <w:spacing w:after="0" w:line="258" w:lineRule="auto"/>
        <w:rPr>
          <w:sz w:val="20"/>
          <w:szCs w:val="20"/>
          <w:color w:val="auto"/>
        </w:rPr>
      </w:pPr>
      <w:r>
        <w:rPr>
          <w:rFonts w:ascii="Times New Roman" w:cs="Times New Roman" w:eastAsia="Times New Roman" w:hAnsi="Times New Roman"/>
          <w:sz w:val="16"/>
          <w:szCs w:val="16"/>
          <w:color w:val="auto"/>
        </w:rPr>
        <w:t>On March 16, 2022, our board of directors authorized a share repurchase program under which we may repurchase up to US$5 million of our outstanding American depositary shares over the next 12 months, subject to relevant rules under the Securities Exchange Act of 1934, as amended, and our insider trading policy. The share repurchases may be made from time to time in the open market at prevailing market prices, in privately negotiated transactions, in block trades and/or through other legally permissible means, depending on market conditions and in accordance with applicable rules and regulations. Our board of directors will review the share repurchase program periodically and may authorize adjustment of its terms and size. We expect to fund repurchases made under this program from our existing funds.</w:t>
      </w:r>
    </w:p>
    <w:p>
      <w:pPr>
        <w:spacing w:after="0" w:line="163" w:lineRule="exact"/>
        <w:rPr>
          <w:sz w:val="20"/>
          <w:szCs w:val="20"/>
          <w:color w:val="auto"/>
        </w:rPr>
      </w:pPr>
    </w:p>
    <w:p>
      <w:pPr>
        <w:ind w:left="700" w:right="80" w:firstLine="393"/>
        <w:spacing w:after="0" w:line="256" w:lineRule="auto"/>
        <w:rPr>
          <w:sz w:val="20"/>
          <w:szCs w:val="20"/>
          <w:color w:val="auto"/>
        </w:rPr>
      </w:pPr>
      <w:r>
        <w:rPr>
          <w:rFonts w:ascii="Times New Roman" w:cs="Times New Roman" w:eastAsia="Times New Roman" w:hAnsi="Times New Roman"/>
          <w:sz w:val="16"/>
          <w:szCs w:val="16"/>
          <w:color w:val="auto"/>
        </w:rPr>
        <w:t>On March 17, 2023, our board of directors authorized a share repurchase program under which we may repurchase up to US$5 million of our Class A common shares in the form of American depositary shares over the next 12 months, subject to relevant rules under the Securities Exchange Act of 1934, as amended, and our insider trading policy. The share repurchases may be made from time to time in the open market at prevailing market prices, in privately negotiated transactions, in block trades and/or through other legally permissible means, depending on market conditions and in accordance with applicable rules and regulations. Our board of directors will review the share repurchase program periodically and may authorize adjustment of its terms and size. We expect to fund repurchases made under this program from our existing cash balance and cash generated from operations.</w:t>
      </w:r>
    </w:p>
    <w:p>
      <w:pPr>
        <w:spacing w:after="0" w:line="167" w:lineRule="exact"/>
        <w:rPr>
          <w:sz w:val="20"/>
          <w:szCs w:val="20"/>
          <w:color w:val="auto"/>
        </w:rPr>
      </w:pPr>
    </w:p>
    <w:p>
      <w:pPr>
        <w:ind w:left="700" w:firstLine="393"/>
        <w:spacing w:after="0" w:line="286" w:lineRule="auto"/>
        <w:rPr>
          <w:sz w:val="20"/>
          <w:szCs w:val="20"/>
          <w:color w:val="auto"/>
        </w:rPr>
      </w:pPr>
      <w:r>
        <w:rPr>
          <w:rFonts w:ascii="Times New Roman" w:cs="Times New Roman" w:eastAsia="Times New Roman" w:hAnsi="Times New Roman"/>
          <w:sz w:val="16"/>
          <w:szCs w:val="16"/>
          <w:color w:val="auto"/>
        </w:rPr>
        <w:t xml:space="preserve">The SEC maintains a web site at </w:t>
      </w:r>
      <w:r>
        <w:rPr>
          <w:rFonts w:ascii="Times New Roman" w:cs="Times New Roman" w:eastAsia="Times New Roman" w:hAnsi="Times New Roman"/>
          <w:sz w:val="16"/>
          <w:szCs w:val="16"/>
          <w:i w:val="1"/>
          <w:iCs w:val="1"/>
          <w:u w:val="single" w:color="auto"/>
          <w:color w:val="auto"/>
        </w:rPr>
        <w:t>www.sec.gov</w:t>
      </w:r>
      <w:r>
        <w:rPr>
          <w:rFonts w:ascii="Times New Roman" w:cs="Times New Roman" w:eastAsia="Times New Roman" w:hAnsi="Times New Roman"/>
          <w:sz w:val="16"/>
          <w:szCs w:val="16"/>
          <w:color w:val="auto"/>
        </w:rPr>
        <w:t xml:space="preserve"> that contains reports, proxy and information statements, and other information regarding issuers that file electronically with the SEC using its EDGAR system.</w:t>
      </w:r>
    </w:p>
    <w:p>
      <w:pPr>
        <w:spacing w:after="0" w:line="142" w:lineRule="exact"/>
        <w:rPr>
          <w:sz w:val="20"/>
          <w:szCs w:val="20"/>
          <w:color w:val="auto"/>
        </w:rPr>
      </w:pPr>
    </w:p>
    <w:p>
      <w:pPr>
        <w:ind w:left="700" w:right="100" w:firstLine="393"/>
        <w:spacing w:after="0" w:line="284" w:lineRule="auto"/>
        <w:rPr>
          <w:sz w:val="20"/>
          <w:szCs w:val="20"/>
          <w:color w:val="auto"/>
        </w:rPr>
      </w:pPr>
      <w:r>
        <w:rPr>
          <w:rFonts w:ascii="Times New Roman" w:cs="Times New Roman" w:eastAsia="Times New Roman" w:hAnsi="Times New Roman"/>
          <w:sz w:val="16"/>
          <w:szCs w:val="16"/>
          <w:color w:val="auto"/>
        </w:rPr>
        <w:t>See “Item 5. Operating and Financial Review and Prospects—B. Liquidity and Capital Resources—Capital Expenditures” for a discussion of our capital expenditures.</w:t>
      </w:r>
    </w:p>
    <w:p>
      <w:pPr>
        <w:spacing w:after="0" w:line="274" w:lineRule="exact"/>
        <w:rPr>
          <w:sz w:val="20"/>
          <w:szCs w:val="20"/>
          <w:color w:val="auto"/>
        </w:rPr>
      </w:pPr>
    </w:p>
    <w:p>
      <w:pPr>
        <w:ind w:left="1100" w:hanging="393"/>
        <w:spacing w:after="0"/>
        <w:tabs>
          <w:tab w:leader="none" w:pos="1100"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Overview</w:t>
      </w:r>
    </w:p>
    <w:p>
      <w:pPr>
        <w:spacing w:after="0" w:line="107" w:lineRule="exact"/>
        <w:rPr>
          <w:sz w:val="20"/>
          <w:szCs w:val="20"/>
          <w:color w:val="auto"/>
        </w:rPr>
      </w:pPr>
    </w:p>
    <w:p>
      <w:pPr>
        <w:ind w:left="700" w:right="160" w:firstLine="393"/>
        <w:spacing w:after="0" w:line="259" w:lineRule="auto"/>
        <w:rPr>
          <w:sz w:val="20"/>
          <w:szCs w:val="20"/>
          <w:color w:val="auto"/>
        </w:rPr>
      </w:pPr>
      <w:r>
        <w:rPr>
          <w:rFonts w:ascii="Times New Roman" w:cs="Times New Roman" w:eastAsia="Times New Roman" w:hAnsi="Times New Roman"/>
          <w:sz w:val="16"/>
          <w:szCs w:val="16"/>
          <w:color w:val="auto"/>
        </w:rPr>
        <w:t>We are an independent online insurance product and service platform in China. As a licensed insurance intermediary operating online platforms, we do not bear underwriting risks. We distribute on our platform insurance products underwritten by the insurance companies who cooperate with us, who we refer to as our insurer partners, and help them reach a large number of insurance clients. Our platform offers digitalized insurance purchase experience and services through various internet and mobile internet channels. We primarily generate revenues from the insurance brokerage fees paid by our insurer partners.</w:t>
      </w:r>
    </w:p>
    <w:p>
      <w:pPr>
        <w:spacing w:after="0" w:line="164" w:lineRule="exact"/>
        <w:rPr>
          <w:sz w:val="20"/>
          <w:szCs w:val="20"/>
          <w:color w:val="auto"/>
        </w:rPr>
      </w:pPr>
    </w:p>
    <w:p>
      <w:pPr>
        <w:ind w:left="700" w:right="360" w:firstLine="393"/>
        <w:spacing w:after="0" w:line="267" w:lineRule="auto"/>
        <w:rPr>
          <w:sz w:val="20"/>
          <w:szCs w:val="20"/>
          <w:color w:val="auto"/>
        </w:rPr>
      </w:pPr>
      <w:r>
        <w:rPr>
          <w:rFonts w:ascii="Times New Roman" w:cs="Times New Roman" w:eastAsia="Times New Roman" w:hAnsi="Times New Roman"/>
          <w:sz w:val="16"/>
          <w:szCs w:val="16"/>
          <w:color w:val="auto"/>
        </w:rPr>
        <w:t>We have accumulated a large insurance client base. As of December 31, 2022, we had cumulatively served 8.4 million insurance clients. A substantial portion of our insurance client base are the younger generation, particularly life and health insurance clients. In 2022, the average age of insurance clients who purchased life and health insurance products through our platform was 33.8.</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10540"/>
          </w:cols>
          <w:pgMar w:left="320" w:top="447" w:right="10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140" w:firstLine="393"/>
        <w:spacing w:after="0" w:line="255" w:lineRule="auto"/>
        <w:rPr>
          <w:sz w:val="20"/>
          <w:szCs w:val="20"/>
          <w:color w:val="auto"/>
        </w:rPr>
      </w:pPr>
      <w:r>
        <w:rPr>
          <w:rFonts w:ascii="Times New Roman" w:cs="Times New Roman" w:eastAsia="Times New Roman" w:hAnsi="Times New Roman"/>
          <w:sz w:val="16"/>
          <w:szCs w:val="16"/>
          <w:color w:val="auto"/>
        </w:rPr>
        <w:t>In order to serve our clients’ protection needs, we offer a wide variety of insurance products with easy-to-understand terms and focusing on protection. Our products cover two major categories—life and health insurance products, and property &amp; casualty insurance products. In 2022, we offered approximately 356 life and health insurance products and approximately 314 property &amp; casualty insurance products. Our life and health insurance products contributed to 94.4% of our brokerage income in 2022. Our long-term life and health insurance products primarily consist of whole life insurance products, which provide life insurance for the insured’s entire life in exchange for the periodic payment of fixed premiums over a pre-determined period, generally ranging from five to 20 years, or until the insured reaches a certain age. Starting from late 2019, we have been diversifying our insurance product offerings, such as starting to offer annuity and endowment life insurance products, in order to attract a wider client demographics and serve our clients’ lifetime insurance needs. Our annuity and endowment life insurance products contributed to 50.1% of our brokerage income in 2022.</w:t>
      </w:r>
    </w:p>
    <w:p>
      <w:pPr>
        <w:spacing w:after="0" w:line="169"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We have established business cooperation with a large group of insurer partners. As of December 31, 2022, we cooperated with 106 insurer partners, representing a substantial portion of all licensed insurance companies in China. We empower our insurer partners to reach a massive and fragmented client base quickly, and enhance their insurance sales through our online platform. We have also integrated critical steps in the insurance policy distribution process, such as intelligent underwriting and in-force policy administration, in our system. In addition, we design and develop tailor-made insurance products together with our insurer partners. In 2022, approximately 64.8% of the GWP facilitated through our platform were contributed by tailor-made insurance products that we developed together with our insurer partners.</w:t>
      </w:r>
    </w:p>
    <w:p>
      <w:pPr>
        <w:spacing w:after="0" w:line="163" w:lineRule="exact"/>
        <w:rPr>
          <w:sz w:val="20"/>
          <w:szCs w:val="20"/>
          <w:color w:val="auto"/>
        </w:rPr>
      </w:pPr>
    </w:p>
    <w:p>
      <w:pPr>
        <w:ind w:left="700" w:right="140" w:firstLine="393"/>
        <w:spacing w:after="0" w:line="258" w:lineRule="auto"/>
        <w:rPr>
          <w:sz w:val="20"/>
          <w:szCs w:val="20"/>
          <w:color w:val="auto"/>
        </w:rPr>
      </w:pPr>
      <w:r>
        <w:rPr>
          <w:rFonts w:ascii="Times New Roman" w:cs="Times New Roman" w:eastAsia="Times New Roman" w:hAnsi="Times New Roman"/>
          <w:sz w:val="16"/>
          <w:szCs w:val="16"/>
          <w:color w:val="auto"/>
        </w:rPr>
        <w:t>The cumulative number of insurance clients we served increased from approximately 6.8 million as of December 31, 2020, to 7.5 million as of December 31, 2021, and further to 8.4 million as of December 31, 2022. The GWP we facilitated increased from RMB3,019.9 million in 2020 to RMB5,018.2 million in 2021, and further to RMB4,907.9 million (US$711.6 million) as of December 31, 2022. We primarily generate revenues from the commission fees that we charge our insurer partners for facilitating insurance policies and generating premiums for them. Our total operating revenue increased from RMB1,220.2 million in 2020 to RMB2,245.0 million in 2021, and further to RMB1,157.9 million (US$167.9 million) in 2022. We have net loss of RMB18.3 million, RMB107.7 million and RMB33.7 million (US$4.9 million) in 2020, 2021 and 2022, respectively.</w:t>
      </w:r>
    </w:p>
    <w:p>
      <w:pPr>
        <w:spacing w:after="0" w:line="2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Our Online Platform</w:t>
      </w:r>
    </w:p>
    <w:p>
      <w:pPr>
        <w:spacing w:after="0" w:line="107" w:lineRule="exact"/>
        <w:rPr>
          <w:sz w:val="20"/>
          <w:szCs w:val="20"/>
          <w:color w:val="auto"/>
        </w:rPr>
      </w:pPr>
    </w:p>
    <w:p>
      <w:pPr>
        <w:ind w:left="700" w:right="80" w:firstLine="393"/>
        <w:spacing w:after="0" w:line="256" w:lineRule="auto"/>
        <w:rPr>
          <w:sz w:val="20"/>
          <w:szCs w:val="20"/>
          <w:color w:val="auto"/>
        </w:rPr>
      </w:pPr>
      <w:r>
        <w:rPr>
          <w:rFonts w:ascii="Times New Roman" w:cs="Times New Roman" w:eastAsia="Times New Roman" w:hAnsi="Times New Roman"/>
          <w:sz w:val="16"/>
          <w:szCs w:val="16"/>
          <w:color w:val="auto"/>
        </w:rPr>
        <w:t>We hold a nation-wide insurance intermediary license and operate an independent online insurance product and service platform in China. On our platform, we provide insurance clients with a one-stop insurance experience. We distribute through our platform various insurance products underwritten by our insurer partners, some of which are products we designed and developed together with our insurer partners, and we do not assume underwriting risks ourselves. We offer easy interpretation and presentation of insurance policy terms to help insurance clients make informed decisions when purchasing insurance products. We provide services to insurance clients at various stages of the insurance transaction and in-force period to improve client experience and increase client stickiness. On our platform, we connect insurer partners efficiently with a massive base of insurance clients and enhance their insurance sales.</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Access to Our Online Platform for Insurance Clients</w:t>
      </w:r>
    </w:p>
    <w:p>
      <w:pPr>
        <w:spacing w:after="0" w:line="109" w:lineRule="exact"/>
        <w:rPr>
          <w:sz w:val="20"/>
          <w:szCs w:val="20"/>
          <w:color w:val="auto"/>
        </w:rPr>
      </w:pPr>
    </w:p>
    <w:p>
      <w:pPr>
        <w:ind w:left="700" w:right="400" w:firstLine="393"/>
        <w:spacing w:after="0" w:line="284" w:lineRule="auto"/>
        <w:rPr>
          <w:sz w:val="20"/>
          <w:szCs w:val="20"/>
          <w:color w:val="auto"/>
        </w:rPr>
      </w:pPr>
      <w:r>
        <w:rPr>
          <w:rFonts w:ascii="Times New Roman" w:cs="Times New Roman" w:eastAsia="Times New Roman" w:hAnsi="Times New Roman"/>
          <w:sz w:val="16"/>
          <w:szCs w:val="16"/>
          <w:color w:val="auto"/>
        </w:rPr>
        <w:t>Insurance clients can access our online platform on internet and mobile internet, including our websites, our mobile app, our WeChat official account and our WeChat mini program.</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Our Websites</w:t>
      </w:r>
    </w:p>
    <w:p>
      <w:pPr>
        <w:spacing w:after="0" w:line="105" w:lineRule="exact"/>
        <w:rPr>
          <w:sz w:val="20"/>
          <w:szCs w:val="20"/>
          <w:color w:val="auto"/>
        </w:rPr>
      </w:pPr>
    </w:p>
    <w:p>
      <w:pPr>
        <w:jc w:val="both"/>
        <w:ind w:left="700" w:right="200" w:firstLine="393"/>
        <w:spacing w:after="0" w:line="263" w:lineRule="auto"/>
        <w:rPr>
          <w:sz w:val="20"/>
          <w:szCs w:val="20"/>
          <w:color w:val="auto"/>
        </w:rPr>
      </w:pPr>
      <w:r>
        <w:rPr>
          <w:rFonts w:ascii="Times New Roman" w:cs="Times New Roman" w:eastAsia="Times New Roman" w:hAnsi="Times New Roman"/>
          <w:sz w:val="16"/>
          <w:szCs w:val="16"/>
          <w:color w:val="auto"/>
        </w:rPr>
        <w:t xml:space="preserve">We primarily operate three websites: </w:t>
      </w:r>
      <w:r>
        <w:rPr>
          <w:rFonts w:ascii="Times New Roman" w:cs="Times New Roman" w:eastAsia="Times New Roman" w:hAnsi="Times New Roman"/>
          <w:sz w:val="16"/>
          <w:szCs w:val="16"/>
          <w:i w:val="1"/>
          <w:iCs w:val="1"/>
          <w:u w:val="single" w:color="auto"/>
          <w:color w:val="auto"/>
        </w:rPr>
        <w:t>www.huize.com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www.qixin18.com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u w:val="single" w:color="auto"/>
          <w:color w:val="auto"/>
        </w:rPr>
        <w:t>www.xiebao18.com</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Our main website is </w:t>
      </w:r>
      <w:r>
        <w:rPr>
          <w:rFonts w:ascii="Times New Roman" w:cs="Times New Roman" w:eastAsia="Times New Roman" w:hAnsi="Times New Roman"/>
          <w:sz w:val="16"/>
          <w:szCs w:val="16"/>
          <w:i w:val="1"/>
          <w:iCs w:val="1"/>
          <w:u w:val="single" w:color="auto"/>
          <w:color w:val="auto"/>
        </w:rPr>
        <w:t>www.huize.com</w:t>
      </w:r>
      <w:r>
        <w:rPr>
          <w:rFonts w:ascii="Times New Roman" w:cs="Times New Roman" w:eastAsia="Times New Roman" w:hAnsi="Times New Roman"/>
          <w:sz w:val="16"/>
          <w:szCs w:val="16"/>
          <w:color w:val="auto"/>
        </w:rPr>
        <w:t>, through which we offer substantially all of our insurance products, manage our insurance clients and insurance policies, and provide client services. Our main website covers every stage of insurance transactions, including product search, policy interpretation, online live consultation, intelligent underwriting, product purchase, policy management and claim settlement.</w:t>
      </w:r>
    </w:p>
    <w:p>
      <w:pPr>
        <w:spacing w:after="0" w:line="158" w:lineRule="exact"/>
        <w:rPr>
          <w:sz w:val="20"/>
          <w:szCs w:val="20"/>
          <w:color w:val="auto"/>
        </w:rPr>
      </w:pPr>
    </w:p>
    <w:p>
      <w:pPr>
        <w:ind w:left="700" w:right="300" w:firstLine="393"/>
        <w:spacing w:after="0" w:line="269" w:lineRule="auto"/>
        <w:rPr>
          <w:sz w:val="20"/>
          <w:szCs w:val="20"/>
          <w:color w:val="auto"/>
        </w:rPr>
      </w:pPr>
      <w:r>
        <w:rPr>
          <w:rFonts w:ascii="Times New Roman" w:cs="Times New Roman" w:eastAsia="Times New Roman" w:hAnsi="Times New Roman"/>
          <w:sz w:val="16"/>
          <w:szCs w:val="16"/>
          <w:i w:val="1"/>
          <w:iCs w:val="1"/>
          <w:u w:val="single" w:color="auto"/>
          <w:color w:val="auto"/>
        </w:rPr>
        <w:t>www.qixin18.com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 a platform we developed to connect to and cooperate with our user traffic channels, where we provide them with order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placement SaaS system, user account management system, and various mobile-end tools to enhance our user traffic channels’ efficiency in directing client traffic. </w:t>
      </w:r>
      <w:r>
        <w:rPr>
          <w:rFonts w:ascii="Times New Roman" w:cs="Times New Roman" w:eastAsia="Times New Roman" w:hAnsi="Times New Roman"/>
          <w:sz w:val="16"/>
          <w:szCs w:val="16"/>
          <w:i w:val="1"/>
          <w:iCs w:val="1"/>
          <w:u w:val="single" w:color="auto"/>
          <w:color w:val="auto"/>
        </w:rPr>
        <w:t>www.xiebao18.com</w:t>
      </w:r>
      <w:r>
        <w:rPr>
          <w:rFonts w:ascii="Times New Roman" w:cs="Times New Roman" w:eastAsia="Times New Roman" w:hAnsi="Times New Roman"/>
          <w:sz w:val="16"/>
          <w:szCs w:val="16"/>
          <w:color w:val="auto"/>
        </w:rPr>
        <w:t xml:space="preserve"> primarily focuses on corporate insurance products and travel insurance products.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10540"/>
          </w:cols>
          <w:pgMar w:left="320" w:top="447" w:right="10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Mobile Platforms</w:t>
      </w:r>
    </w:p>
    <w:p>
      <w:pPr>
        <w:spacing w:after="0" w:line="107" w:lineRule="exact"/>
        <w:rPr>
          <w:sz w:val="20"/>
          <w:szCs w:val="20"/>
          <w:color w:val="auto"/>
        </w:rPr>
      </w:pPr>
    </w:p>
    <w:p>
      <w:pPr>
        <w:ind w:left="700" w:right="80" w:firstLine="393"/>
        <w:spacing w:after="0" w:line="202" w:lineRule="exact"/>
        <w:rPr>
          <w:sz w:val="20"/>
          <w:szCs w:val="20"/>
          <w:color w:val="auto"/>
        </w:rPr>
      </w:pPr>
      <w:r>
        <w:rPr>
          <w:rFonts w:ascii="Times New Roman" w:cs="Times New Roman" w:eastAsia="Times New Roman" w:hAnsi="Times New Roman"/>
          <w:sz w:val="16"/>
          <w:szCs w:val="16"/>
          <w:color w:val="auto"/>
        </w:rPr>
        <w:t>In response to the prevalence of smartphone usage and smartphone users’ growing preference of acquiring information and conducting transactions on mobile devices, we have developed our “Huize Insurance” (</w:t>
      </w:r>
      <w:r>
        <w:rPr>
          <w:rFonts w:ascii="SimSun" w:cs="SimSun" w:eastAsia="SimSun" w:hAnsi="SimSun"/>
          <w:sz w:val="14"/>
          <w:szCs w:val="14"/>
          <w:color w:val="auto"/>
        </w:rPr>
        <w:t>慧择保险网</w:t>
      </w:r>
      <w:r>
        <w:rPr>
          <w:rFonts w:ascii="Times New Roman" w:cs="Times New Roman" w:eastAsia="Times New Roman" w:hAnsi="Times New Roman"/>
          <w:sz w:val="16"/>
          <w:szCs w:val="16"/>
          <w:color w:val="auto"/>
        </w:rPr>
        <w:t>) mobile app, and have established our official account and mini program on the WeChat platform.</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“Huize Insurance” App</w:t>
      </w:r>
    </w:p>
    <w:p>
      <w:pPr>
        <w:spacing w:after="0" w:line="107" w:lineRule="exact"/>
        <w:rPr>
          <w:sz w:val="20"/>
          <w:szCs w:val="20"/>
          <w:color w:val="auto"/>
        </w:rPr>
      </w:pPr>
    </w:p>
    <w:p>
      <w:pPr>
        <w:ind w:left="700" w:right="40" w:firstLine="393"/>
        <w:spacing w:after="0" w:line="262" w:lineRule="auto"/>
        <w:rPr>
          <w:sz w:val="20"/>
          <w:szCs w:val="20"/>
          <w:color w:val="auto"/>
        </w:rPr>
      </w:pPr>
      <w:r>
        <w:rPr>
          <w:rFonts w:ascii="Times New Roman" w:cs="Times New Roman" w:eastAsia="Times New Roman" w:hAnsi="Times New Roman"/>
          <w:sz w:val="16"/>
          <w:szCs w:val="16"/>
          <w:color w:val="auto"/>
        </w:rPr>
        <w:t>We launched our “Huize Insurance” app in November 2015 and December 2015 compatible to Android and iOS systems, respectively. Our “Huize Insurance” app offers similar functions and features as our main website catering to app users’ needs. For example, clients can seek advice from our insurance consultants on various questions such as adequacy of their insurance coverage, terms of specific insurance products, and their eligibility for specific insurance products.</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WeChat Official Account and Mini-program</w:t>
      </w:r>
    </w:p>
    <w:p>
      <w:pPr>
        <w:spacing w:after="0" w:line="107" w:lineRule="exact"/>
        <w:rPr>
          <w:sz w:val="20"/>
          <w:szCs w:val="20"/>
          <w:color w:val="auto"/>
        </w:rPr>
      </w:pPr>
    </w:p>
    <w:p>
      <w:pPr>
        <w:ind w:left="700" w:right="160" w:firstLine="393"/>
        <w:spacing w:after="0" w:line="262" w:lineRule="auto"/>
        <w:rPr>
          <w:sz w:val="20"/>
          <w:szCs w:val="20"/>
          <w:color w:val="auto"/>
        </w:rPr>
      </w:pPr>
      <w:r>
        <w:rPr>
          <w:rFonts w:ascii="Times New Roman" w:cs="Times New Roman" w:eastAsia="Times New Roman" w:hAnsi="Times New Roman"/>
          <w:sz w:val="16"/>
          <w:szCs w:val="16"/>
          <w:color w:val="auto"/>
        </w:rPr>
        <w:t>We launched our WeChat official account in March 2014. While our WeChat official account also offers insurance transaction service, it mainly focuses on providing insurance education to potential insurance clients. It provides users with convenient access to our main website and mobile app download page, and posts various surveys and other education content aimed at enhancing user awareness of insurance needs and deepening user understanding of insurance products.</w:t>
      </w:r>
    </w:p>
    <w:p>
      <w:pPr>
        <w:spacing w:after="0" w:line="161" w:lineRule="exact"/>
        <w:rPr>
          <w:sz w:val="20"/>
          <w:szCs w:val="20"/>
          <w:color w:val="auto"/>
        </w:rPr>
      </w:pPr>
    </w:p>
    <w:p>
      <w:pPr>
        <w:ind w:left="700" w:right="100" w:firstLine="393"/>
        <w:spacing w:after="0" w:line="267" w:lineRule="auto"/>
        <w:rPr>
          <w:sz w:val="20"/>
          <w:szCs w:val="20"/>
          <w:color w:val="auto"/>
        </w:rPr>
      </w:pPr>
      <w:r>
        <w:rPr>
          <w:rFonts w:ascii="Times New Roman" w:cs="Times New Roman" w:eastAsia="Times New Roman" w:hAnsi="Times New Roman"/>
          <w:sz w:val="16"/>
          <w:szCs w:val="16"/>
          <w:color w:val="auto"/>
        </w:rPr>
        <w:t>We publish articles and reports through our WeChat official account regularly. The articles and reports cover a wide range of insurance-related topics, including, among others, discovery of suitable insurance products for users and their families, comparisons of insurance products within certain product categories, and recommendations of insurance products offered on our platform.</w:t>
      </w:r>
    </w:p>
    <w:p>
      <w:pPr>
        <w:spacing w:after="0" w:line="157" w:lineRule="exact"/>
        <w:rPr>
          <w:sz w:val="20"/>
          <w:szCs w:val="20"/>
          <w:color w:val="auto"/>
        </w:rPr>
      </w:pPr>
    </w:p>
    <w:p>
      <w:pPr>
        <w:ind w:left="700" w:right="280" w:firstLine="393"/>
        <w:spacing w:after="0" w:line="267" w:lineRule="auto"/>
        <w:rPr>
          <w:sz w:val="20"/>
          <w:szCs w:val="20"/>
          <w:color w:val="auto"/>
        </w:rPr>
      </w:pPr>
      <w:r>
        <w:rPr>
          <w:rFonts w:ascii="Times New Roman" w:cs="Times New Roman" w:eastAsia="Times New Roman" w:hAnsi="Times New Roman"/>
          <w:sz w:val="16"/>
          <w:szCs w:val="16"/>
          <w:color w:val="auto"/>
        </w:rPr>
        <w:t>As WeChat has become a daily communication and information acquisition tool for a massive base of smart phone users in China, we also launched a WeChat mini program in February 2017 to better reach and serve users on our WeChat platform. Our WeChat mini program covers most functions of our mobile app.</w:t>
      </w:r>
    </w:p>
    <w:p>
      <w:pPr>
        <w:spacing w:after="0" w:line="157" w:lineRule="exact"/>
        <w:rPr>
          <w:sz w:val="20"/>
          <w:szCs w:val="20"/>
          <w:color w:val="auto"/>
        </w:rPr>
      </w:pPr>
    </w:p>
    <w:p>
      <w:pPr>
        <w:ind w:left="700" w:right="60" w:firstLine="393"/>
        <w:spacing w:after="0" w:line="284" w:lineRule="auto"/>
        <w:rPr>
          <w:sz w:val="20"/>
          <w:szCs w:val="20"/>
          <w:color w:val="auto"/>
        </w:rPr>
      </w:pPr>
      <w:r>
        <w:rPr>
          <w:rFonts w:ascii="Times New Roman" w:cs="Times New Roman" w:eastAsia="Times New Roman" w:hAnsi="Times New Roman"/>
          <w:sz w:val="16"/>
          <w:szCs w:val="16"/>
          <w:color w:val="auto"/>
        </w:rPr>
        <w:t>While we primarily serve our insurance clients through our online platform, we also provide insurance services to certain of our insurance clients offline.</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Our Insurance Clients</w:t>
      </w:r>
    </w:p>
    <w:p>
      <w:pPr>
        <w:spacing w:after="0" w:line="109"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We have a large and growing base of insurance clients. We define our insurance clients as purchasers of the insurance policies we distribute, including individual clients, who contribute to most of our revenues, and corporate clients. As of December 31, 2020, 2021 and 2022, the cumulative number of our insurance clients was approximately 6.8 million, 7.5 million and 8.4 million, respectively. As we continue to expand our product offerings, enhance our brand recognition and reputation, and deepen our cooperation with insurer partners and user traffic channels, we expect our client base to continue to grow.</w:t>
      </w:r>
    </w:p>
    <w:p>
      <w:pPr>
        <w:spacing w:after="0" w:line="164" w:lineRule="exact"/>
        <w:rPr>
          <w:sz w:val="20"/>
          <w:szCs w:val="20"/>
          <w:color w:val="auto"/>
        </w:rPr>
      </w:pPr>
    </w:p>
    <w:p>
      <w:pPr>
        <w:ind w:left="700" w:right="40" w:firstLine="393"/>
        <w:spacing w:after="0" w:line="267" w:lineRule="auto"/>
        <w:rPr>
          <w:sz w:val="20"/>
          <w:szCs w:val="20"/>
          <w:color w:val="auto"/>
        </w:rPr>
      </w:pPr>
      <w:r>
        <w:rPr>
          <w:rFonts w:ascii="Times New Roman" w:cs="Times New Roman" w:eastAsia="Times New Roman" w:hAnsi="Times New Roman"/>
          <w:sz w:val="16"/>
          <w:szCs w:val="16"/>
          <w:color w:val="auto"/>
        </w:rPr>
        <w:t>We focus on serving the younger generation who are relatively well-educated, tech-savvy, more willing to learn insurance related knowledge, and tend to enjoy online consumption and investment. In 2022, the average age of those who purchased life and health insurance products through our platform was 33.8.</w:t>
      </w:r>
    </w:p>
    <w:p>
      <w:pPr>
        <w:spacing w:after="0" w:line="157" w:lineRule="exact"/>
        <w:rPr>
          <w:sz w:val="20"/>
          <w:szCs w:val="20"/>
          <w:color w:val="auto"/>
        </w:rPr>
      </w:pPr>
    </w:p>
    <w:p>
      <w:pPr>
        <w:ind w:left="700" w:right="80" w:firstLine="393"/>
        <w:spacing w:after="0" w:line="267" w:lineRule="auto"/>
        <w:rPr>
          <w:sz w:val="20"/>
          <w:szCs w:val="20"/>
          <w:color w:val="auto"/>
        </w:rPr>
      </w:pPr>
      <w:r>
        <w:rPr>
          <w:rFonts w:ascii="Times New Roman" w:cs="Times New Roman" w:eastAsia="Times New Roman" w:hAnsi="Times New Roman"/>
          <w:sz w:val="16"/>
          <w:szCs w:val="16"/>
          <w:color w:val="auto"/>
        </w:rPr>
        <w:t>We aim at serving lifetime insurance needs of our clients and their families. We believe that most insurance clients are attracted by our high-quality product and service offerings after purchasing a first insurance policy on our platform. More importantly, the diversity of insurance products on our platform allows us to serve a variety of insurance clients at different stages of their lives.</w:t>
      </w:r>
    </w:p>
    <w:p>
      <w:pPr>
        <w:spacing w:after="0" w:line="157" w:lineRule="exact"/>
        <w:rPr>
          <w:sz w:val="20"/>
          <w:szCs w:val="20"/>
          <w:color w:val="auto"/>
        </w:rPr>
      </w:pPr>
    </w:p>
    <w:p>
      <w:pPr>
        <w:ind w:left="700" w:right="180" w:firstLine="393"/>
        <w:spacing w:after="0" w:line="256" w:lineRule="auto"/>
        <w:rPr>
          <w:sz w:val="20"/>
          <w:szCs w:val="20"/>
          <w:color w:val="auto"/>
        </w:rPr>
      </w:pPr>
      <w:r>
        <w:rPr>
          <w:rFonts w:ascii="Times New Roman" w:cs="Times New Roman" w:eastAsia="Times New Roman" w:hAnsi="Times New Roman"/>
          <w:sz w:val="16"/>
          <w:szCs w:val="16"/>
          <w:color w:val="auto"/>
        </w:rPr>
        <w:t>Insurance experience offered by traditional industry participants is believed to be time-consuming. We are dedicated to providing best-in-class client experience, which helps transform the industry norm. Our platform provides insurance clients with easy discovery and convenient access to a wide spectrum of insurance products and seamless transaction process. We provide recommendations of products that we believe are suitable for our potential and existing insurance clients based on the information they provide and the data that our platform collects and analyzes. We offer insurance clients a secure environment under a trusted brand, where they can acquire useful insurance knowledge and information on personal and family insurance package planning. The comprehensive suite of client services we provide make the whole insurance experience simple and smooth. The superior client experience we offer enhances client loyalty and encourages repeat purchase.</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10500"/>
          </w:cols>
          <w:pgMar w:left="320" w:top="447" w:right="10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Services to Insurance Clients</w:t>
      </w:r>
    </w:p>
    <w:p>
      <w:pPr>
        <w:spacing w:after="0" w:line="107" w:lineRule="exact"/>
        <w:rPr>
          <w:sz w:val="20"/>
          <w:szCs w:val="20"/>
          <w:color w:val="auto"/>
        </w:rPr>
      </w:pPr>
    </w:p>
    <w:p>
      <w:pPr>
        <w:ind w:left="1320" w:hanging="219"/>
        <w:spacing w:after="0"/>
        <w:tabs>
          <w:tab w:leader="none" w:pos="1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Assistance in Finding the Right Product</w:t>
      </w:r>
    </w:p>
    <w:p>
      <w:pPr>
        <w:spacing w:after="0" w:line="115"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i w:val="1"/>
          <w:iCs w:val="1"/>
          <w:color w:val="auto"/>
        </w:rPr>
        <w:t>Product information</w:t>
      </w:r>
    </w:p>
    <w:p>
      <w:pPr>
        <w:spacing w:after="0" w:line="204" w:lineRule="exact"/>
        <w:rPr>
          <w:sz w:val="20"/>
          <w:szCs w:val="20"/>
          <w:color w:val="auto"/>
        </w:rPr>
      </w:pPr>
    </w:p>
    <w:p>
      <w:pPr>
        <w:ind w:left="700" w:right="100" w:firstLine="393"/>
        <w:spacing w:after="0" w:line="267" w:lineRule="auto"/>
        <w:rPr>
          <w:sz w:val="20"/>
          <w:szCs w:val="20"/>
          <w:color w:val="auto"/>
        </w:rPr>
      </w:pPr>
      <w:r>
        <w:rPr>
          <w:rFonts w:ascii="Times New Roman" w:cs="Times New Roman" w:eastAsia="Times New Roman" w:hAnsi="Times New Roman"/>
          <w:sz w:val="16"/>
          <w:szCs w:val="16"/>
          <w:color w:val="auto"/>
        </w:rPr>
        <w:t>We provide product information that is reader-friendly and easy to interpret, including illustrative graphics and case studies for each insurance product offered to facilitate clients’ understanding of policy terms. Moreover, if insurance clients still have questions after reading these materials, they can seek advice from our insurance consultation team or reach out to our client service representatives.</w:t>
      </w:r>
    </w:p>
    <w:p>
      <w:pPr>
        <w:spacing w:after="0" w:line="71" w:lineRule="exact"/>
        <w:rPr>
          <w:sz w:val="20"/>
          <w:szCs w:val="20"/>
          <w:color w:val="auto"/>
        </w:rPr>
      </w:pPr>
    </w:p>
    <w:p>
      <w:pPr>
        <w:ind w:left="1580" w:hanging="391"/>
        <w:spacing w:after="0"/>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 broad selection of product offering</w:t>
      </w:r>
    </w:p>
    <w:p>
      <w:pPr>
        <w:spacing w:after="0" w:line="204"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We offer various categories of insurance products on our platform. For each insurance product category, we offer a broad selection of insurance products, giving insurance clients adequate options to choose from. Therefore, we are able to serve insurance clients’ protection needs in different scenarios and at different life stages. Our broad product offering also allows us to recommend to clients insurance product portfolios, which are typically more cost-efficient compared with a simple combination of multiple insurance policies.</w:t>
      </w:r>
    </w:p>
    <w:p>
      <w:pPr>
        <w:spacing w:after="0" w:line="74" w:lineRule="exact"/>
        <w:rPr>
          <w:sz w:val="20"/>
          <w:szCs w:val="20"/>
          <w:color w:val="auto"/>
        </w:rPr>
      </w:pPr>
    </w:p>
    <w:p>
      <w:pPr>
        <w:ind w:left="1580" w:hanging="391"/>
        <w:spacing w:after="0"/>
        <w:tabs>
          <w:tab w:leader="none" w:pos="1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Insurance product recommendation</w:t>
      </w:r>
    </w:p>
    <w:p>
      <w:pPr>
        <w:spacing w:after="0" w:line="204" w:lineRule="exact"/>
        <w:rPr>
          <w:sz w:val="20"/>
          <w:szCs w:val="20"/>
          <w:color w:val="auto"/>
        </w:rPr>
      </w:pPr>
    </w:p>
    <w:p>
      <w:pPr>
        <w:jc w:val="both"/>
        <w:ind w:left="700" w:right="120" w:firstLine="393"/>
        <w:spacing w:after="0" w:line="262" w:lineRule="auto"/>
        <w:rPr>
          <w:sz w:val="20"/>
          <w:szCs w:val="20"/>
          <w:color w:val="auto"/>
        </w:rPr>
      </w:pPr>
      <w:r>
        <w:rPr>
          <w:rFonts w:ascii="Times New Roman" w:cs="Times New Roman" w:eastAsia="Times New Roman" w:hAnsi="Times New Roman"/>
          <w:sz w:val="16"/>
          <w:szCs w:val="16"/>
          <w:color w:val="auto"/>
        </w:rPr>
        <w:t>For each client, our platform will generate a set of recommendations based on the client’s profile, information provided by the client and his/her browsing footprint on our platform, focusing on the client’s personal protection needs. Clients have the flexibility to browse through as many products as they wish, but with the significant number of insurance products available, our recommendation service plays a critical role in matching clients with the most suitable insurance products.</w:t>
      </w:r>
    </w:p>
    <w:p>
      <w:pPr>
        <w:spacing w:after="0" w:line="74" w:lineRule="exact"/>
        <w:rPr>
          <w:sz w:val="20"/>
          <w:szCs w:val="20"/>
          <w:color w:val="auto"/>
        </w:rPr>
      </w:pPr>
    </w:p>
    <w:p>
      <w:pPr>
        <w:ind w:left="1580" w:hanging="391"/>
        <w:spacing w:after="0"/>
        <w:tabs>
          <w:tab w:leader="none" w:pos="15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Consulting service</w:t>
      </w:r>
    </w:p>
    <w:p>
      <w:pPr>
        <w:spacing w:after="0" w:line="204" w:lineRule="exact"/>
        <w:rPr>
          <w:sz w:val="20"/>
          <w:szCs w:val="20"/>
          <w:color w:val="auto"/>
        </w:rPr>
      </w:pPr>
    </w:p>
    <w:p>
      <w:pPr>
        <w:ind w:left="700" w:right="20" w:firstLine="393"/>
        <w:spacing w:after="0" w:line="255" w:lineRule="auto"/>
        <w:rPr>
          <w:sz w:val="20"/>
          <w:szCs w:val="20"/>
          <w:color w:val="auto"/>
        </w:rPr>
      </w:pPr>
      <w:r>
        <w:rPr>
          <w:rFonts w:ascii="Times New Roman" w:cs="Times New Roman" w:eastAsia="Times New Roman" w:hAnsi="Times New Roman"/>
          <w:sz w:val="16"/>
          <w:szCs w:val="16"/>
          <w:color w:val="auto"/>
        </w:rPr>
        <w:t>We employ insurance consultants with expertise in insurance industry and substantial experience to facilitate clients to make informed decisions when selecting insurance products. Each insurance consultant is required to complete mandatory trainings by experienced managers on subjects, such as insurance products knowledge and communication skills. Our insurance consultants are young professionals who empathically understand and click with our clients. Before selecting a product, clients can make an appointment for consultation on our platform, and our insurance consultants are expected to contact them by phone within one business day. Our insurance consultants are capable of not only answering basic questions on insurance products, but also analyzing clients’ risk profile and insurance needs, providing recommendations with respect to insurance products, and assisting clients and their families with insurance planning. After conducting a thorough assessment on the risks insurance clients and their families are exposed to, our insurance consultants recommend insurance products, and in some cases, insurance portfolio that provide comprehensive protection at competitive price, to insurance clients.</w:t>
      </w:r>
    </w:p>
    <w:p>
      <w:pPr>
        <w:spacing w:after="0" w:line="169"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We empower our insurance consultants with our self-built digital tools, mainly including a vertical insurance database and client behavior tracking system. The database covers comprehensive information of insurance products available on the market, both online and offline. Insurance consultants can quickly retrieve product information from the database and present to clients comparison among insurance products. Our client behavior tracking system analyzes the clients’ browsing records and transaction records from various dimensions, and evaluates clients’ insurance needs and purchase preference. This allows our insurance consultants to predict clients’ concerns and queries before starting consultation sessions with clients, which substantially improves consulting efficiency. In 2020, we launched the AI Proposal application and a new version of consultant workstation, both of which are client service tools designed and applied in order to improve our service capabilities and the client experience we provide.</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10520"/>
          </w:cols>
          <w:pgMar w:left="320" w:top="447" w:right="10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1320" w:hanging="219"/>
        <w:spacing w:after="0"/>
        <w:tabs>
          <w:tab w:leader="none" w:pos="13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Superior Transaction Experience</w:t>
      </w:r>
    </w:p>
    <w:p>
      <w:pPr>
        <w:spacing w:after="0" w:line="115"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Intelligent underwriting</w:t>
      </w:r>
    </w:p>
    <w:p>
      <w:pPr>
        <w:spacing w:after="0" w:line="204" w:lineRule="exact"/>
        <w:rPr>
          <w:sz w:val="20"/>
          <w:szCs w:val="20"/>
          <w:color w:val="auto"/>
        </w:rPr>
      </w:pPr>
    </w:p>
    <w:p>
      <w:pPr>
        <w:ind w:left="700" w:right="40" w:firstLine="393"/>
        <w:spacing w:after="0" w:line="258" w:lineRule="auto"/>
        <w:rPr>
          <w:sz w:val="20"/>
          <w:szCs w:val="20"/>
          <w:color w:val="auto"/>
        </w:rPr>
      </w:pPr>
      <w:r>
        <w:rPr>
          <w:rFonts w:ascii="Times New Roman" w:cs="Times New Roman" w:eastAsia="Times New Roman" w:hAnsi="Times New Roman"/>
          <w:sz w:val="16"/>
          <w:szCs w:val="16"/>
          <w:color w:val="auto"/>
        </w:rPr>
        <w:t>We have built a proprietary intelligent underwriting system that automates the whole underwriting process with data analytical technology. For each insurance product, we code the underwriting criteria set by the insurer into our intelligent underwriting system, which allows the system to automatically evaluate whether a client is eligible for the product and whether the special terms in the insurance policy are triggered based on a series of set questions. As an insurance intermediary, we do not make underwriting decisions or bear underwriting risks by ourselves. We incur research and development expenses for the development of our intelligent underwriting system, and selling expenses for the labor costs related to our client service team.</w:t>
      </w:r>
    </w:p>
    <w:p>
      <w:pPr>
        <w:spacing w:after="0" w:line="163" w:lineRule="exact"/>
        <w:rPr>
          <w:sz w:val="20"/>
          <w:szCs w:val="20"/>
          <w:color w:val="auto"/>
        </w:rPr>
      </w:pPr>
    </w:p>
    <w:p>
      <w:pPr>
        <w:ind w:left="700" w:right="60" w:firstLine="393"/>
        <w:spacing w:after="0" w:line="262" w:lineRule="auto"/>
        <w:rPr>
          <w:sz w:val="20"/>
          <w:szCs w:val="20"/>
          <w:color w:val="auto"/>
        </w:rPr>
      </w:pPr>
      <w:r>
        <w:rPr>
          <w:rFonts w:ascii="Times New Roman" w:cs="Times New Roman" w:eastAsia="Times New Roman" w:hAnsi="Times New Roman"/>
          <w:sz w:val="16"/>
          <w:szCs w:val="16"/>
          <w:color w:val="auto"/>
        </w:rPr>
        <w:t>The intelligent underwriting system greatly optimizes the insurance experience for the insurance clients, as it reduces the amount of paperwork needed, saves the efforts of talking to a human insurance adviser about the client’s medical history, and offers much faster digitalized policy processing. In addition, the codified criteria enables the assessment of a wide variety of pre-existing conditions, resulting in more accurate evaluation of a client’s eligibility and reducing the rate of rejection by insurance companies.</w:t>
      </w:r>
    </w:p>
    <w:p>
      <w:pPr>
        <w:spacing w:after="0" w:line="74" w:lineRule="exact"/>
        <w:rPr>
          <w:sz w:val="20"/>
          <w:szCs w:val="20"/>
          <w:color w:val="auto"/>
        </w:rPr>
      </w:pPr>
    </w:p>
    <w:p>
      <w:pPr>
        <w:ind w:left="1580" w:hanging="391"/>
        <w:spacing w:after="0"/>
        <w:tabs>
          <w:tab w:leader="none" w:pos="15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Claim application and settlement service</w:t>
      </w:r>
    </w:p>
    <w:p>
      <w:pPr>
        <w:spacing w:after="0" w:line="204" w:lineRule="exact"/>
        <w:rPr>
          <w:sz w:val="20"/>
          <w:szCs w:val="20"/>
          <w:color w:val="auto"/>
        </w:rPr>
      </w:pPr>
    </w:p>
    <w:p>
      <w:pPr>
        <w:ind w:left="700" w:right="140" w:firstLine="393"/>
        <w:spacing w:after="0" w:line="259" w:lineRule="auto"/>
        <w:rPr>
          <w:sz w:val="20"/>
          <w:szCs w:val="20"/>
          <w:color w:val="auto"/>
        </w:rPr>
      </w:pPr>
      <w:r>
        <w:rPr>
          <w:rFonts w:ascii="Times New Roman" w:cs="Times New Roman" w:eastAsia="Times New Roman" w:hAnsi="Times New Roman"/>
          <w:sz w:val="16"/>
          <w:szCs w:val="16"/>
          <w:color w:val="auto"/>
        </w:rPr>
        <w:t>We act as the insurance clients’ trusted point of contact when risks covered by insurance policies realize. We assist insurance clients in the claim settlement process, but do not make claim decisions as an insurance intermediary. After receiving a claim settlement application from an insurance client, we review relevant materials provided by the client, assist with preparing necessary documents and information required to support the client’s claim, submit the claim with the insurer on the client’s behalf, and handle all communications with the insurer. We incur research and development expenses for the development of our claim settlement system, and selling expenses for the labor costs related to our client service team.</w:t>
      </w:r>
    </w:p>
    <w:p>
      <w:pPr>
        <w:spacing w:after="0" w:line="164"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Our expertise in the insurance industry equips us with a clear understanding in the claim requirements set by our insurer partners, thus allowing us to effectively help clients prepare all necessary documents. The long-term cooperative relationships we have established with our insurer partners and our rich experience in representing clients’ interests allow us to settle claims thoroughly and effectively for as fast as two days. Our insurance clients can track the claim settlement progress through our online platform.</w:t>
      </w:r>
    </w:p>
    <w:p>
      <w:pPr>
        <w:spacing w:after="0" w:line="74" w:lineRule="exact"/>
        <w:rPr>
          <w:sz w:val="20"/>
          <w:szCs w:val="20"/>
          <w:color w:val="auto"/>
        </w:rPr>
      </w:pPr>
    </w:p>
    <w:p>
      <w:pPr>
        <w:ind w:left="1580" w:hanging="391"/>
        <w:spacing w:after="0"/>
        <w:tabs>
          <w:tab w:leader="none" w:pos="1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Client service</w:t>
      </w:r>
    </w:p>
    <w:p>
      <w:pPr>
        <w:spacing w:after="0" w:line="204" w:lineRule="exact"/>
        <w:rPr>
          <w:sz w:val="20"/>
          <w:szCs w:val="20"/>
          <w:color w:val="auto"/>
        </w:rPr>
      </w:pPr>
    </w:p>
    <w:p>
      <w:pPr>
        <w:ind w:left="700" w:right="80" w:firstLine="393"/>
        <w:spacing w:after="0" w:line="259" w:lineRule="auto"/>
        <w:rPr>
          <w:sz w:val="20"/>
          <w:szCs w:val="20"/>
          <w:color w:val="auto"/>
        </w:rPr>
      </w:pPr>
      <w:r>
        <w:rPr>
          <w:rFonts w:ascii="Times New Roman" w:cs="Times New Roman" w:eastAsia="Times New Roman" w:hAnsi="Times New Roman"/>
          <w:sz w:val="16"/>
          <w:szCs w:val="16"/>
          <w:color w:val="auto"/>
        </w:rPr>
        <w:t>In addition to the insurance consultants team, we also have a dedicated client service team in charge of addressing basic client queries and providing all-round client services. Our client service team help insurance clients navigate smoothly through the insurance transaction process, assist in claim application and settlement, and respond to client complaints to ensure client satisfaction. We choose our client services representatives from candidates who have good communication skills and high client service ethics, and we provide rigorous training to our new recruits. We conduct ongoing evaluations of our client service representatives and provide periodic training to develop their skills.</w:t>
      </w:r>
    </w:p>
    <w:p>
      <w:pPr>
        <w:spacing w:after="0" w:line="164" w:lineRule="exact"/>
        <w:rPr>
          <w:sz w:val="20"/>
          <w:szCs w:val="20"/>
          <w:color w:val="auto"/>
        </w:rPr>
      </w:pPr>
    </w:p>
    <w:p>
      <w:pPr>
        <w:jc w:val="both"/>
        <w:ind w:left="700" w:right="420" w:firstLine="393"/>
        <w:spacing w:after="0" w:line="267" w:lineRule="auto"/>
        <w:rPr>
          <w:sz w:val="20"/>
          <w:szCs w:val="20"/>
          <w:color w:val="auto"/>
        </w:rPr>
      </w:pPr>
      <w:r>
        <w:rPr>
          <w:rFonts w:ascii="Times New Roman" w:cs="Times New Roman" w:eastAsia="Times New Roman" w:hAnsi="Times New Roman"/>
          <w:sz w:val="16"/>
          <w:szCs w:val="16"/>
          <w:color w:val="auto"/>
        </w:rPr>
        <w:t>Upon receiving a piece of client complaint, our service representative will extract and go through chat records and transaction records of the client, reach out to the client by phone, and resolve the issue. As of December 31, 2022, we had not experienced any material client complaints or claims.</w:t>
      </w: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Our Insurer Partners</w:t>
      </w:r>
    </w:p>
    <w:p>
      <w:pPr>
        <w:spacing w:after="0" w:line="109" w:lineRule="exact"/>
        <w:rPr>
          <w:sz w:val="20"/>
          <w:szCs w:val="20"/>
          <w:color w:val="auto"/>
        </w:rPr>
      </w:pPr>
    </w:p>
    <w:p>
      <w:pPr>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As of December 31, 2022, we cooperated with 106 insurer partners, including 64 life and health insurance companies, and 42 property &amp; casualty insurance companies. Some of our insurer partners also cooperate with reinsurance companies to underwrite insurance products offered on our platform. Our five largest insurer partners in terms of operating revenue contribution aggregately accounted for 63.0%, 78.4% and 56.5% of our total operating revenue in 2020, 2021 and 2022, respectively.</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10520"/>
          </w:cols>
          <w:pgMar w:left="320" w:top="447" w:right="10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20" w:firstLine="393"/>
        <w:spacing w:after="0" w:line="254" w:lineRule="auto"/>
        <w:rPr>
          <w:sz w:val="20"/>
          <w:szCs w:val="20"/>
          <w:color w:val="auto"/>
        </w:rPr>
      </w:pPr>
      <w:r>
        <w:rPr>
          <w:rFonts w:ascii="Times New Roman" w:cs="Times New Roman" w:eastAsia="Times New Roman" w:hAnsi="Times New Roman"/>
          <w:sz w:val="16"/>
          <w:szCs w:val="16"/>
          <w:color w:val="auto"/>
        </w:rPr>
        <w:t>We typically enter into cooperative agreements for an initial term of one to three years with our insurer partners, some of which can be automatically renewed for certain period of time unless prior notice is provided by either party to terminate the agreement. Pursuant to the terms of such cooperative agreements, we market and present the insurance products underwritten by our insurer partners through online channels to potential insurance clients and facilitate the sales of such insurance products. We ensure the smooth operation of our platform. We collect premiums of the insurance products we facilitate and remit the premiums in full to the insurer partners on a monthly basis according to the cooperative agreements. Our insurer partners issue policies and provide settlement, and pay us commission fees based on a percentage of the premiums we facilitate. Both parties should keep all client information and data confidential and conduct their respective business in compliance with applicable laws, regulations and rules. Most insurer partners demand a threshold for the percentage of clients that renew their insurance policies in the 13th month of the insurance term. If we do not meet such threshold, the renewal brokerage commission will be adjusted to zero, or the insurer partners have the right to terminate their authorization for us to sell the relevant insurance products. Generally, in the event either party breaches the terms and provisions under the cooperative agreements, the non-breaching party is entitled to unilaterally terminate the agreement and receive damages for the loss incurred. We are not contractually required to provide additional services, such as intelligent underwriting, in-force policy administration and claim settlement services to the insurance clients we serve. We offer these services in order to enhance clients’ transaction experience that facilitates the maintenance and growth of our client base, which in turn strengthens our relationships with insurer partners.</w:t>
      </w:r>
    </w:p>
    <w:p>
      <w:pPr>
        <w:spacing w:after="0" w:line="166"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We empower our insurer partners to improve their operational efficiency and acquire massive clients online. In addition, we offer superior, cost-effective client service solutions, enabling insurer partners to receive feedbacks to the insurance products they underwrite and complete digitalized claim settlement in a timely manner. Leveraging our data capabilities, our client segmentation and selection process helps insurer partners effectively grow their client base and manage risks.</w:t>
      </w:r>
    </w:p>
    <w:p>
      <w:pPr>
        <w:spacing w:after="0" w:line="161" w:lineRule="exact"/>
        <w:rPr>
          <w:sz w:val="20"/>
          <w:szCs w:val="20"/>
          <w:color w:val="auto"/>
        </w:rPr>
      </w:pPr>
    </w:p>
    <w:p>
      <w:pPr>
        <w:ind w:left="700" w:right="40" w:firstLine="393"/>
        <w:spacing w:after="0" w:line="256" w:lineRule="auto"/>
        <w:rPr>
          <w:sz w:val="20"/>
          <w:szCs w:val="20"/>
          <w:color w:val="auto"/>
        </w:rPr>
      </w:pPr>
      <w:r>
        <w:rPr>
          <w:rFonts w:ascii="Times New Roman" w:cs="Times New Roman" w:eastAsia="Times New Roman" w:hAnsi="Times New Roman"/>
          <w:sz w:val="16"/>
          <w:szCs w:val="16"/>
          <w:color w:val="auto"/>
        </w:rPr>
        <w:t>We provide a series of services to our insurer partners, including system integration and product design and development services. For each insurer partner, we offer technology support to adapt their system to our platform to ensure a smooth transaction process. An increasing number of insurer partners have integrated with our system, making our system more robust. We also proactively collaborate with those insurer partners that we have established a long and stable relationship with to design and develop insurance products together. For our cooperation in designing and developing insurance products, we present our product design ideas and pricing range suggestions to them after we have built a model and conducted actuarial, while the insurer partner files the product with the China Banking and Insurance Regulatory Commission to ensure regulatory compliance before we launch such product on our platform.</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Our Product Offerings</w:t>
      </w:r>
    </w:p>
    <w:p>
      <w:pPr>
        <w:spacing w:after="0" w:line="109"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We offer two broad categories of insurance products: life and health insurance products and property &amp; casualty insurance products, both of which contain products we designed and developed together with insurer partners. The insurance products we offer on our online platform are underwritten by our insurer partners. Our platform offered approximately 670 insurance products in 2022, including approximately 356 life and health insurance products, and approximately 314 property &amp; casualty insurance products.</w:t>
      </w:r>
    </w:p>
    <w:p>
      <w:pPr>
        <w:spacing w:after="0" w:line="1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Below table sets forth the categories of insurance products we offered and GWP of each category in 2020, 2021 and 2022:</w:t>
      </w:r>
    </w:p>
    <w:p>
      <w:pPr>
        <w:spacing w:after="0" w:line="213"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234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Type of Insurance</w:t>
            </w:r>
          </w:p>
        </w:tc>
        <w:tc>
          <w:tcPr>
            <w:tcW w:w="320" w:type="dxa"/>
            <w:vAlign w:val="bottom"/>
          </w:tcPr>
          <w:p>
            <w:pPr>
              <w:spacing w:after="0"/>
              <w:rPr>
                <w:sz w:val="12"/>
                <w:szCs w:val="12"/>
                <w:color w:val="auto"/>
              </w:rPr>
            </w:pPr>
          </w:p>
        </w:tc>
        <w:tc>
          <w:tcPr>
            <w:tcW w:w="25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Sub-Category</w:t>
            </w: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6"/>
              </w:rPr>
              <w:t>GWP in 2020</w:t>
            </w: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6"/>
              </w:rPr>
              <w:t>GWP in 2021</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GWP in 2022</w:t>
            </w:r>
          </w:p>
        </w:tc>
        <w:tc>
          <w:tcPr>
            <w:tcW w:w="0" w:type="dxa"/>
            <w:vAlign w:val="bottom"/>
          </w:tcPr>
          <w:p>
            <w:pPr>
              <w:spacing w:after="0"/>
              <w:rPr>
                <w:sz w:val="1"/>
                <w:szCs w:val="1"/>
                <w:color w:val="auto"/>
              </w:rPr>
            </w:pPr>
          </w:p>
        </w:tc>
      </w:tr>
      <w:tr>
        <w:trPr>
          <w:trHeight w:val="157"/>
        </w:trPr>
        <w:tc>
          <w:tcPr>
            <w:tcW w:w="2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Products</w:t>
            </w:r>
          </w:p>
        </w:tc>
        <w:tc>
          <w:tcPr>
            <w:tcW w:w="320" w:type="dxa"/>
            <w:vAlign w:val="bottom"/>
          </w:tcPr>
          <w:p>
            <w:pPr>
              <w:spacing w:after="0"/>
              <w:rPr>
                <w:sz w:val="13"/>
                <w:szCs w:val="13"/>
                <w:color w:val="auto"/>
              </w:rPr>
            </w:pPr>
          </w:p>
        </w:tc>
        <w:tc>
          <w:tcPr>
            <w:tcW w:w="2540" w:type="dxa"/>
            <w:vAlign w:val="bottom"/>
            <w:gridSpan w:val="2"/>
            <w:vMerge w:val="continue"/>
          </w:tcPr>
          <w:p>
            <w:pPr>
              <w:spacing w:after="0"/>
              <w:rPr>
                <w:sz w:val="13"/>
                <w:szCs w:val="13"/>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8"/>
              </w:rPr>
              <w:t>(in RMB million)</w:t>
            </w: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8"/>
              </w:rPr>
              <w:t>(in RMB million)</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(in RMB million)</w:t>
            </w:r>
          </w:p>
        </w:tc>
        <w:tc>
          <w:tcPr>
            <w:tcW w:w="0" w:type="dxa"/>
            <w:vAlign w:val="bottom"/>
          </w:tcPr>
          <w:p>
            <w:pPr>
              <w:spacing w:after="0"/>
              <w:rPr>
                <w:sz w:val="1"/>
                <w:szCs w:val="1"/>
                <w:color w:val="auto"/>
              </w:rPr>
            </w:pPr>
          </w:p>
        </w:tc>
      </w:tr>
      <w:tr>
        <w:trPr>
          <w:trHeight w:val="168"/>
        </w:trPr>
        <w:tc>
          <w:tcPr>
            <w:tcW w:w="234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Life and Health Insurance Products</w:t>
            </w:r>
          </w:p>
        </w:tc>
        <w:tc>
          <w:tcPr>
            <w:tcW w:w="320" w:type="dxa"/>
            <w:vAlign w:val="bottom"/>
            <w:tcBorders>
              <w:top w:val="single" w:sz="8" w:color="CCEEFF"/>
            </w:tcBorders>
            <w:shd w:val="clear" w:color="auto" w:fill="CCEEFF"/>
          </w:tcPr>
          <w:p>
            <w:pPr>
              <w:spacing w:after="0"/>
              <w:rPr>
                <w:sz w:val="14"/>
                <w:szCs w:val="14"/>
                <w:color w:val="auto"/>
              </w:rPr>
            </w:pPr>
          </w:p>
        </w:tc>
        <w:tc>
          <w:tcPr>
            <w:tcW w:w="212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Long-term health insurance</w:t>
            </w:r>
          </w:p>
        </w:tc>
        <w:tc>
          <w:tcPr>
            <w:tcW w:w="4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products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2,142.9</w:t>
            </w: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2,617.1</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2,440.9</w:t>
            </w: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2860" w:type="dxa"/>
            <w:vAlign w:val="bottom"/>
            <w:gridSpan w:val="3"/>
          </w:tcPr>
          <w:p>
            <w:pPr>
              <w:ind w:left="320"/>
              <w:spacing w:after="0" w:line="176" w:lineRule="exact"/>
              <w:rPr>
                <w:sz w:val="20"/>
                <w:szCs w:val="20"/>
                <w:color w:val="auto"/>
              </w:rPr>
            </w:pPr>
            <w:r>
              <w:rPr>
                <w:rFonts w:ascii="Times New Roman" w:cs="Times New Roman" w:eastAsia="Times New Roman" w:hAnsi="Times New Roman"/>
                <w:sz w:val="16"/>
                <w:szCs w:val="16"/>
                <w:color w:val="auto"/>
              </w:rPr>
              <w:t>Short-term health insurance</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products</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68.1</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38.6</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108.9</w:t>
            </w:r>
          </w:p>
        </w:tc>
        <w:tc>
          <w:tcPr>
            <w:tcW w:w="0" w:type="dxa"/>
            <w:vAlign w:val="bottom"/>
          </w:tcPr>
          <w:p>
            <w:pPr>
              <w:spacing w:after="0"/>
              <w:rPr>
                <w:sz w:val="1"/>
                <w:szCs w:val="1"/>
                <w:color w:val="auto"/>
              </w:rPr>
            </w:pPr>
          </w:p>
        </w:tc>
      </w:tr>
      <w:tr>
        <w:trPr>
          <w:trHeight w:val="176"/>
        </w:trPr>
        <w:tc>
          <w:tcPr>
            <w:tcW w:w="2340" w:type="dxa"/>
            <w:vAlign w:val="bottom"/>
            <w:shd w:val="clear" w:color="auto" w:fill="CCEEFF"/>
          </w:tcPr>
          <w:p>
            <w:pPr>
              <w:spacing w:after="0"/>
              <w:rPr>
                <w:sz w:val="15"/>
                <w:szCs w:val="15"/>
                <w:color w:val="auto"/>
              </w:rPr>
            </w:pPr>
          </w:p>
        </w:tc>
        <w:tc>
          <w:tcPr>
            <w:tcW w:w="2860" w:type="dxa"/>
            <w:vAlign w:val="bottom"/>
            <w:gridSpan w:val="3"/>
            <w:shd w:val="clear" w:color="auto" w:fill="CCEEFF"/>
          </w:tcPr>
          <w:p>
            <w:pPr>
              <w:ind w:left="320"/>
              <w:spacing w:after="0" w:line="177" w:lineRule="exact"/>
              <w:rPr>
                <w:sz w:val="20"/>
                <w:szCs w:val="20"/>
                <w:color w:val="auto"/>
              </w:rPr>
            </w:pPr>
            <w:r>
              <w:rPr>
                <w:rFonts w:ascii="Times New Roman" w:cs="Times New Roman" w:eastAsia="Times New Roman" w:hAnsi="Times New Roman"/>
                <w:sz w:val="16"/>
                <w:szCs w:val="16"/>
                <w:color w:val="auto"/>
              </w:rPr>
              <w:t>Life insurance products and</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annuity insurance products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w:t>
            </w: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2,186.4</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2,131.6</w:t>
            </w:r>
          </w:p>
        </w:tc>
        <w:tc>
          <w:tcPr>
            <w:tcW w:w="0" w:type="dxa"/>
            <w:vAlign w:val="bottom"/>
          </w:tcPr>
          <w:p>
            <w:pPr>
              <w:spacing w:after="0"/>
              <w:rPr>
                <w:sz w:val="1"/>
                <w:szCs w:val="1"/>
                <w:color w:val="auto"/>
              </w:rPr>
            </w:pPr>
          </w:p>
        </w:tc>
      </w:tr>
      <w:tr>
        <w:trPr>
          <w:trHeight w:val="176"/>
        </w:trPr>
        <w:tc>
          <w:tcPr>
            <w:tcW w:w="234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Property &amp; casualty</w:t>
            </w:r>
          </w:p>
        </w:tc>
        <w:tc>
          <w:tcPr>
            <w:tcW w:w="3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insurance products</w:t>
            </w: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46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176.1</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226.5</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Life and Health Insurance Products</w:t>
      </w:r>
    </w:p>
    <w:p>
      <w:pPr>
        <w:spacing w:after="0" w:line="107" w:lineRule="exact"/>
        <w:rPr>
          <w:sz w:val="20"/>
          <w:szCs w:val="20"/>
          <w:color w:val="auto"/>
        </w:rPr>
      </w:pPr>
    </w:p>
    <w:p>
      <w:pPr>
        <w:ind w:left="700" w:right="40" w:firstLine="393"/>
        <w:spacing w:after="0" w:line="259" w:lineRule="auto"/>
        <w:rPr>
          <w:sz w:val="20"/>
          <w:szCs w:val="20"/>
          <w:color w:val="auto"/>
        </w:rPr>
      </w:pPr>
      <w:r>
        <w:rPr>
          <w:rFonts w:ascii="Times New Roman" w:cs="Times New Roman" w:eastAsia="Times New Roman" w:hAnsi="Times New Roman"/>
          <w:sz w:val="16"/>
          <w:szCs w:val="16"/>
          <w:color w:val="auto"/>
        </w:rPr>
        <w:t>The life and health insurance products listed on our platform include long-term health insurance products, short-term health insurance products, life insurance products and annuity insurance products. Our dedicated product design team with strong actuarial background design and develop tailor-made life and health insurance products to cater to client’s personal protection needs. In 2020, 2021 and 2022, we offered approximately 475, 424 and 356 life and health insurance products respectively. In 2022, the GWP we facilitated from our tailor-made life and health insurance products account for 66.4% of total GWP of our life and health insurance products we facilitated.</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81</w:t>
      </w:r>
    </w:p>
    <w:p>
      <w:pPr>
        <w:sectPr>
          <w:pgSz w:w="11900" w:h="16838" w:orient="portrait"/>
          <w:cols w:equalWidth="0" w:num="1">
            <w:col w:w="10520"/>
          </w:cols>
          <w:pgMar w:left="320" w:top="447" w:right="10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(1) Long-term Health Insurance Products</w:t>
      </w:r>
    </w:p>
    <w:p>
      <w:pPr>
        <w:spacing w:after="0" w:line="105" w:lineRule="exact"/>
        <w:rPr>
          <w:sz w:val="20"/>
          <w:szCs w:val="20"/>
          <w:color w:val="auto"/>
        </w:rPr>
      </w:pPr>
    </w:p>
    <w:p>
      <w:pPr>
        <w:ind w:left="700" w:right="60" w:firstLine="393"/>
        <w:spacing w:after="0" w:line="259" w:lineRule="auto"/>
        <w:rPr>
          <w:sz w:val="20"/>
          <w:szCs w:val="20"/>
          <w:color w:val="auto"/>
        </w:rPr>
      </w:pPr>
      <w:r>
        <w:rPr>
          <w:rFonts w:ascii="Times New Roman" w:cs="Times New Roman" w:eastAsia="Times New Roman" w:hAnsi="Times New Roman"/>
          <w:sz w:val="16"/>
          <w:szCs w:val="16"/>
          <w:color w:val="auto"/>
        </w:rPr>
        <w:t>The long-term health insurance products on our platform, primarily consisting of critical illness insurance products, typically offer a lump-sum payment to the insured if the insured is diagnosed with one of the conditions or a major life-threatening illness as defined in the insurance policy. The amounts of claims for long-term health insurance products in China are typically specified in the insurance policies, rather than determined based on the actual medical expenses. The long-term health insurance products typically address insurance clients’ needs for both medical treatment and after-care services.</w:t>
      </w:r>
    </w:p>
    <w:p>
      <w:pPr>
        <w:spacing w:after="0" w:line="164" w:lineRule="exact"/>
        <w:rPr>
          <w:sz w:val="20"/>
          <w:szCs w:val="20"/>
          <w:color w:val="auto"/>
        </w:rPr>
      </w:pPr>
    </w:p>
    <w:p>
      <w:pPr>
        <w:ind w:left="700" w:right="80" w:firstLine="393"/>
        <w:spacing w:after="0" w:line="198" w:lineRule="exact"/>
        <w:rPr>
          <w:sz w:val="20"/>
          <w:szCs w:val="20"/>
          <w:color w:val="auto"/>
        </w:rPr>
      </w:pPr>
      <w:r>
        <w:rPr>
          <w:rFonts w:ascii="Times New Roman" w:cs="Times New Roman" w:eastAsia="Times New Roman" w:hAnsi="Times New Roman"/>
          <w:sz w:val="16"/>
          <w:szCs w:val="16"/>
          <w:color w:val="auto"/>
        </w:rPr>
        <w:t>Taking advantage of our actuarial capabilities and our expertise in long-term health insurance products, we analyze clients’ potential insurance needs and design tailor-made insurance products accordingly. For a given new product idea, we build a model, conduct actuarial analysis, draw a preliminary price range, and proactively reach out to our insurer partners to discuss such product. After the cooperating insurer partner determines the final terms of the product, it files the product with the China Banking and Insurance Regulatory Commission and then launch the product on our platform. The product design and development process typically takes approximately three months. Popular long-term health insurance products we designed and developed in 2022 included Guardian Critical Care No.5 (</w:t>
      </w:r>
      <w:r>
        <w:rPr>
          <w:rFonts w:ascii="SimSun" w:cs="SimSun" w:eastAsia="SimSun" w:hAnsi="SimSun"/>
          <w:sz w:val="14"/>
          <w:szCs w:val="14"/>
          <w:color w:val="auto"/>
        </w:rPr>
        <w:t>守卫者</w:t>
      </w:r>
      <w:r>
        <w:rPr>
          <w:rFonts w:ascii="Times New Roman" w:cs="Times New Roman" w:eastAsia="Times New Roman" w:hAnsi="Times New Roman"/>
          <w:sz w:val="16"/>
          <w:szCs w:val="16"/>
          <w:color w:val="auto"/>
        </w:rPr>
        <w:t>5</w:t>
      </w:r>
      <w:r>
        <w:rPr>
          <w:rFonts w:ascii="SimSun" w:cs="SimSun" w:eastAsia="SimSun" w:hAnsi="SimSun"/>
          <w:sz w:val="14"/>
          <w:szCs w:val="14"/>
          <w:color w:val="auto"/>
        </w:rPr>
        <w:t>号</w:t>
      </w:r>
      <w:r>
        <w:rPr>
          <w:rFonts w:ascii="Times New Roman" w:cs="Times New Roman" w:eastAsia="Times New Roman" w:hAnsi="Times New Roman"/>
          <w:sz w:val="16"/>
          <w:szCs w:val="16"/>
          <w:color w:val="auto"/>
        </w:rPr>
        <w:t>), a customized multiple-benefit critical illness insurance product, and Darwin Critical Care No. 7 (</w:t>
      </w:r>
      <w:r>
        <w:rPr>
          <w:rFonts w:ascii="SimSun" w:cs="SimSun" w:eastAsia="SimSun" w:hAnsi="SimSun"/>
          <w:sz w:val="14"/>
          <w:szCs w:val="14"/>
          <w:color w:val="auto"/>
        </w:rPr>
        <w:t>达尔文</w:t>
      </w:r>
      <w:r>
        <w:rPr>
          <w:rFonts w:ascii="Times New Roman" w:cs="Times New Roman" w:eastAsia="Times New Roman" w:hAnsi="Times New Roman"/>
          <w:sz w:val="16"/>
          <w:szCs w:val="16"/>
          <w:color w:val="auto"/>
        </w:rPr>
        <w:t>7</w:t>
      </w:r>
      <w:r>
        <w:rPr>
          <w:rFonts w:ascii="SimSun" w:cs="SimSun" w:eastAsia="SimSun" w:hAnsi="SimSun"/>
          <w:sz w:val="14"/>
          <w:szCs w:val="14"/>
          <w:color w:val="auto"/>
        </w:rPr>
        <w:t>号</w:t>
      </w:r>
      <w:r>
        <w:rPr>
          <w:rFonts w:ascii="Times New Roman" w:cs="Times New Roman" w:eastAsia="Times New Roman" w:hAnsi="Times New Roman"/>
          <w:sz w:val="16"/>
          <w:szCs w:val="16"/>
          <w:color w:val="auto"/>
        </w:rPr>
        <w:t>), the latest critical illness insurance product offering in our Darwin Critical Care series, which offers additional benefits for severe/mild malignant tumors and carcinoma in situ, as well as ICU hospitalization benefits covering major diseases outside the list of severe, moderate and mild illnesses.</w:t>
      </w:r>
    </w:p>
    <w:p>
      <w:pPr>
        <w:spacing w:after="0" w:line="17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(2) Short-term Health Insurance Products</w:t>
      </w:r>
    </w:p>
    <w:p>
      <w:pPr>
        <w:spacing w:after="0" w:line="202" w:lineRule="exact"/>
        <w:rPr>
          <w:sz w:val="20"/>
          <w:szCs w:val="20"/>
          <w:color w:val="auto"/>
        </w:rPr>
      </w:pPr>
    </w:p>
    <w:p>
      <w:pPr>
        <w:ind w:left="700" w:right="500" w:firstLine="393"/>
        <w:spacing w:after="0" w:line="198" w:lineRule="exact"/>
        <w:rPr>
          <w:sz w:val="20"/>
          <w:szCs w:val="20"/>
          <w:color w:val="auto"/>
        </w:rPr>
      </w:pPr>
      <w:r>
        <w:rPr>
          <w:rFonts w:ascii="Times New Roman" w:cs="Times New Roman" w:eastAsia="Times New Roman" w:hAnsi="Times New Roman"/>
          <w:sz w:val="16"/>
          <w:szCs w:val="16"/>
          <w:color w:val="auto"/>
        </w:rPr>
        <w:t>Short-term health insurance products we offer provide illness and disease insurance protections and medical benefits during a period that is usually shorter than one year from the effective date of the policy. Popular health insurance products on our platform in 2022 include Children Outpatient Nuanbaobao Super (</w:t>
      </w:r>
      <w:r>
        <w:rPr>
          <w:rFonts w:ascii="SimSun" w:cs="SimSun" w:eastAsia="SimSun" w:hAnsi="SimSun"/>
          <w:sz w:val="14"/>
          <w:szCs w:val="14"/>
          <w:color w:val="auto"/>
        </w:rPr>
        <w:t>少儿门诊暖宝保超能版</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(3) Life Insurance Products</w:t>
      </w:r>
    </w:p>
    <w:p>
      <w:pPr>
        <w:spacing w:after="0" w:line="202" w:lineRule="exact"/>
        <w:rPr>
          <w:sz w:val="20"/>
          <w:szCs w:val="20"/>
          <w:color w:val="auto"/>
        </w:rPr>
      </w:pPr>
    </w:p>
    <w:p>
      <w:pPr>
        <w:ind w:left="700" w:right="100" w:firstLine="393"/>
        <w:spacing w:after="0" w:line="197" w:lineRule="exact"/>
        <w:rPr>
          <w:sz w:val="20"/>
          <w:szCs w:val="20"/>
          <w:color w:val="auto"/>
        </w:rPr>
      </w:pPr>
      <w:r>
        <w:rPr>
          <w:rFonts w:ascii="Times New Roman" w:cs="Times New Roman" w:eastAsia="Times New Roman" w:hAnsi="Times New Roman"/>
          <w:sz w:val="16"/>
          <w:szCs w:val="16"/>
          <w:color w:val="auto"/>
        </w:rPr>
        <w:t>We offer term life insurance products, whole life insurance products and annuity insurance products on our platform. The term life insurance products we offer provide life insurance for the insured for a specified time period or until the attainment of a certain age, in return for the periodic payment of fixed premiums over a pre-determined period, generally ranging from five to 20 years. In 2022, popular term life insurance products on our online platform include Huagui Da Mai 2022(</w:t>
      </w:r>
      <w:r>
        <w:rPr>
          <w:rFonts w:ascii="SimSun" w:cs="SimSun" w:eastAsia="SimSun" w:hAnsi="SimSun"/>
          <w:sz w:val="14"/>
          <w:szCs w:val="14"/>
          <w:color w:val="auto"/>
        </w:rPr>
        <w:t>华贵大麦</w:t>
      </w:r>
      <w:r>
        <w:rPr>
          <w:rFonts w:ascii="Times New Roman" w:cs="Times New Roman" w:eastAsia="Times New Roman" w:hAnsi="Times New Roman"/>
          <w:sz w:val="16"/>
          <w:szCs w:val="16"/>
          <w:color w:val="auto"/>
        </w:rPr>
        <w:t>2022</w:t>
      </w:r>
      <w:r>
        <w:rPr>
          <w:rFonts w:ascii="SimSun" w:cs="SimSun" w:eastAsia="SimSun" w:hAnsi="SimSun"/>
          <w:sz w:val="14"/>
          <w:szCs w:val="14"/>
          <w:color w:val="auto"/>
        </w:rPr>
        <w:t>定期寿险</w:t>
      </w:r>
      <w:r>
        <w:rPr>
          <w:rFonts w:ascii="Times New Roman" w:cs="Times New Roman" w:eastAsia="Times New Roman" w:hAnsi="Times New Roman"/>
          <w:sz w:val="16"/>
          <w:szCs w:val="16"/>
          <w:color w:val="auto"/>
        </w:rPr>
        <w:t>).</w:t>
      </w:r>
    </w:p>
    <w:p>
      <w:pPr>
        <w:spacing w:after="0" w:line="191" w:lineRule="exact"/>
        <w:rPr>
          <w:sz w:val="20"/>
          <w:szCs w:val="20"/>
          <w:color w:val="auto"/>
        </w:rPr>
      </w:pPr>
    </w:p>
    <w:p>
      <w:pPr>
        <w:ind w:left="700" w:firstLine="393"/>
        <w:spacing w:after="0" w:line="200" w:lineRule="exact"/>
        <w:rPr>
          <w:sz w:val="20"/>
          <w:szCs w:val="20"/>
          <w:color w:val="auto"/>
        </w:rPr>
      </w:pPr>
      <w:r>
        <w:rPr>
          <w:rFonts w:ascii="Times New Roman" w:cs="Times New Roman" w:eastAsia="Times New Roman" w:hAnsi="Times New Roman"/>
          <w:sz w:val="16"/>
          <w:szCs w:val="16"/>
          <w:color w:val="auto"/>
        </w:rPr>
        <w:t>The whole life insurance products we offer provide life insurance for the insured’s entire life in exchange for the periodic payment of fixed premiums over a pre-determined period, generally ranging from five to 20 years, or until the insured reaches a certain age. The face amount of the policy is paid upon the death of the insured. In 2022, Whole life insurance products offered on our online platform include Jin Man Yi Zu Premium (</w:t>
      </w:r>
      <w:r>
        <w:rPr>
          <w:rFonts w:ascii="SimSun" w:cs="SimSun" w:eastAsia="SimSun" w:hAnsi="SimSun"/>
          <w:sz w:val="14"/>
          <w:szCs w:val="14"/>
          <w:color w:val="auto"/>
        </w:rPr>
        <w:t>金满意足臻享版</w:t>
      </w:r>
      <w:r>
        <w:rPr>
          <w:rFonts w:ascii="Times New Roman" w:cs="Times New Roman" w:eastAsia="Times New Roman" w:hAnsi="Times New Roman"/>
          <w:sz w:val="16"/>
          <w:szCs w:val="16"/>
          <w:color w:val="auto"/>
        </w:rPr>
        <w:t>), an increasingly popular whole life insurance product offering protection and saving functions with a single policy.</w:t>
      </w:r>
    </w:p>
    <w:p>
      <w:pPr>
        <w:spacing w:after="0" w:line="19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(4) Annuity Insurance Products</w:t>
      </w:r>
    </w:p>
    <w:p>
      <w:pPr>
        <w:spacing w:after="0" w:line="202" w:lineRule="exact"/>
        <w:rPr>
          <w:sz w:val="20"/>
          <w:szCs w:val="20"/>
          <w:color w:val="auto"/>
        </w:rPr>
      </w:pPr>
    </w:p>
    <w:p>
      <w:pPr>
        <w:ind w:left="700" w:right="360" w:firstLine="393"/>
        <w:spacing w:after="0" w:line="202" w:lineRule="exact"/>
        <w:rPr>
          <w:sz w:val="20"/>
          <w:szCs w:val="20"/>
          <w:color w:val="auto"/>
        </w:rPr>
      </w:pPr>
      <w:r>
        <w:rPr>
          <w:rFonts w:ascii="Times New Roman" w:cs="Times New Roman" w:eastAsia="Times New Roman" w:hAnsi="Times New Roman"/>
          <w:sz w:val="16"/>
          <w:szCs w:val="16"/>
          <w:color w:val="auto"/>
        </w:rPr>
        <w:t>The annuity insurance products we offer pay annuity to the insured according to the time period as specified in the insurance policy and the amount received during the policy term. In 2022, we launched Jin Zhi Qi Hang (</w:t>
      </w:r>
      <w:r>
        <w:rPr>
          <w:rFonts w:ascii="SimSun" w:cs="SimSun" w:eastAsia="SimSun" w:hAnsi="SimSun"/>
          <w:sz w:val="14"/>
          <w:szCs w:val="14"/>
          <w:color w:val="auto"/>
        </w:rPr>
        <w:t>金智启航</w:t>
      </w:r>
      <w:r>
        <w:rPr>
          <w:rFonts w:ascii="Times New Roman" w:cs="Times New Roman" w:eastAsia="Times New Roman" w:hAnsi="Times New Roman"/>
          <w:sz w:val="16"/>
          <w:szCs w:val="16"/>
          <w:color w:val="auto"/>
        </w:rPr>
        <w:t>), a customized annuity product dedicated to meet clients’ savings needs for their children’s future education.</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Property &amp; Casualty Insurance Products</w:t>
      </w:r>
    </w:p>
    <w:p>
      <w:pPr>
        <w:spacing w:after="0" w:line="107" w:lineRule="exact"/>
        <w:rPr>
          <w:sz w:val="20"/>
          <w:szCs w:val="20"/>
          <w:color w:val="auto"/>
        </w:rPr>
      </w:pPr>
    </w:p>
    <w:p>
      <w:pPr>
        <w:ind w:left="700" w:right="120" w:firstLine="393"/>
        <w:spacing w:after="0" w:line="284" w:lineRule="auto"/>
        <w:rPr>
          <w:sz w:val="20"/>
          <w:szCs w:val="20"/>
          <w:color w:val="auto"/>
        </w:rPr>
      </w:pPr>
      <w:r>
        <w:rPr>
          <w:rFonts w:ascii="Times New Roman" w:cs="Times New Roman" w:eastAsia="Times New Roman" w:hAnsi="Times New Roman"/>
          <w:sz w:val="16"/>
          <w:szCs w:val="16"/>
          <w:color w:val="auto"/>
        </w:rPr>
        <w:t>The property &amp; casualty insurance products we distribute include travel insurance products, individual casualty insurance products and corporate liability insurance. In 2020, 2021 and 2022, we offered approximately 1,277,653 and 314 property &amp; casualty insurance products respectively.</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10540"/>
          </w:cols>
          <w:pgMar w:left="320" w:top="447" w:right="10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(1) Travel Insurance Products</w:t>
      </w:r>
    </w:p>
    <w:p>
      <w:pPr>
        <w:spacing w:after="0" w:line="202" w:lineRule="exact"/>
        <w:rPr>
          <w:sz w:val="20"/>
          <w:szCs w:val="20"/>
          <w:color w:val="auto"/>
        </w:rPr>
      </w:pPr>
    </w:p>
    <w:p>
      <w:pPr>
        <w:ind w:left="700" w:right="220" w:firstLine="393"/>
        <w:spacing w:after="0" w:line="284" w:lineRule="auto"/>
        <w:rPr>
          <w:sz w:val="20"/>
          <w:szCs w:val="20"/>
          <w:color w:val="auto"/>
        </w:rPr>
      </w:pPr>
      <w:r>
        <w:rPr>
          <w:rFonts w:ascii="Times New Roman" w:cs="Times New Roman" w:eastAsia="Times New Roman" w:hAnsi="Times New Roman"/>
          <w:sz w:val="16"/>
          <w:szCs w:val="16"/>
          <w:color w:val="auto"/>
        </w:rPr>
        <w:t>We aim to offer innovative and simple solutions for travelers covering every aspect of their travel plans. The travel insurance products we offer cover risks relating to international travel, domestic travel, and outdoor sports.</w:t>
      </w:r>
    </w:p>
    <w:p>
      <w:pPr>
        <w:spacing w:after="0" w:line="143" w:lineRule="exact"/>
        <w:rPr>
          <w:sz w:val="20"/>
          <w:szCs w:val="20"/>
          <w:color w:val="auto"/>
        </w:rPr>
      </w:pPr>
    </w:p>
    <w:p>
      <w:pPr>
        <w:ind w:left="700" w:right="80" w:firstLine="393"/>
        <w:spacing w:after="0" w:line="262" w:lineRule="auto"/>
        <w:rPr>
          <w:sz w:val="20"/>
          <w:szCs w:val="20"/>
          <w:color w:val="auto"/>
        </w:rPr>
      </w:pPr>
      <w:r>
        <w:rPr>
          <w:rFonts w:ascii="Times New Roman" w:cs="Times New Roman" w:eastAsia="Times New Roman" w:hAnsi="Times New Roman"/>
          <w:sz w:val="16"/>
          <w:szCs w:val="16"/>
          <w:color w:val="auto"/>
        </w:rPr>
        <w:t>Most of our travel insurance products are customized scenario-based products. For example, for a tour group with members participating in various types of risky activities, we design different insurance policies depending on the specific activities each group member participates in. Through making the risks covered under each insurance policy specific, we make travel insurance products more cost-effective for insurance clients. In addition, we have the expertise to analyze the risks under each insurance policy, which effectively helps our insurer partners manage claims.</w:t>
      </w:r>
    </w:p>
    <w:p>
      <w:pPr>
        <w:spacing w:after="0" w:line="1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(2) Individual Casualty Insurance Products</w:t>
      </w:r>
    </w:p>
    <w:p>
      <w:pPr>
        <w:spacing w:after="0" w:line="202" w:lineRule="exact"/>
        <w:rPr>
          <w:sz w:val="20"/>
          <w:szCs w:val="20"/>
          <w:color w:val="auto"/>
        </w:rPr>
      </w:pPr>
    </w:p>
    <w:p>
      <w:pPr>
        <w:ind w:left="700" w:right="200" w:firstLine="393"/>
        <w:spacing w:after="0" w:line="267" w:lineRule="auto"/>
        <w:rPr>
          <w:sz w:val="20"/>
          <w:szCs w:val="20"/>
          <w:color w:val="auto"/>
        </w:rPr>
      </w:pPr>
      <w:r>
        <w:rPr>
          <w:rFonts w:ascii="Times New Roman" w:cs="Times New Roman" w:eastAsia="Times New Roman" w:hAnsi="Times New Roman"/>
          <w:sz w:val="16"/>
          <w:szCs w:val="16"/>
          <w:color w:val="auto"/>
        </w:rPr>
        <w:t>The individual casualty insurance products we offer on our platform generally provide a guaranteed benefit in the event of death or disability of the insured as a result of an accident during the coverage period, which is typically less than one year. These products typically require only a single premium payment during the coverage period.</w:t>
      </w:r>
    </w:p>
    <w:p>
      <w:pPr>
        <w:spacing w:after="0" w:line="15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(3) Corporate Insurance Products</w:t>
      </w:r>
    </w:p>
    <w:p>
      <w:pPr>
        <w:spacing w:after="0" w:line="202" w:lineRule="exact"/>
        <w:rPr>
          <w:sz w:val="20"/>
          <w:szCs w:val="20"/>
          <w:color w:val="auto"/>
        </w:rPr>
      </w:pPr>
    </w:p>
    <w:p>
      <w:pPr>
        <w:ind w:left="700" w:right="180" w:firstLine="393"/>
        <w:spacing w:after="0" w:line="262" w:lineRule="auto"/>
        <w:rPr>
          <w:sz w:val="20"/>
          <w:szCs w:val="20"/>
          <w:color w:val="auto"/>
        </w:rPr>
      </w:pPr>
      <w:r>
        <w:rPr>
          <w:rFonts w:ascii="Times New Roman" w:cs="Times New Roman" w:eastAsia="Times New Roman" w:hAnsi="Times New Roman"/>
          <w:sz w:val="16"/>
          <w:szCs w:val="16"/>
          <w:color w:val="auto"/>
        </w:rPr>
        <w:t>In addition to the insurance products for individuals, we also offer commercial property insurance and cargo insurance for corporate insurance clients. We offer various types of corporate liability insurance, including but not limited to public liability insurance, employer liability insurance, and product liability insurance. The cargo insurance products we offer on our platform include, among others, logistics liability insurance, international freight forwarder liability insurance, and international cargo bill of lading liability insurance.</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Branding, Marketing and Sales</w:t>
      </w:r>
    </w:p>
    <w:p>
      <w:pPr>
        <w:spacing w:after="0" w:line="107" w:lineRule="exact"/>
        <w:rPr>
          <w:sz w:val="20"/>
          <w:szCs w:val="20"/>
          <w:color w:val="auto"/>
        </w:rPr>
      </w:pPr>
    </w:p>
    <w:p>
      <w:pPr>
        <w:ind w:left="700" w:right="160" w:firstLine="393"/>
        <w:spacing w:after="0" w:line="259" w:lineRule="auto"/>
        <w:rPr>
          <w:sz w:val="20"/>
          <w:szCs w:val="20"/>
          <w:color w:val="auto"/>
        </w:rPr>
      </w:pPr>
      <w:r>
        <w:rPr>
          <w:rFonts w:ascii="Times New Roman" w:cs="Times New Roman" w:eastAsia="Times New Roman" w:hAnsi="Times New Roman"/>
          <w:sz w:val="16"/>
          <w:szCs w:val="16"/>
          <w:color w:val="auto"/>
        </w:rPr>
        <w:t xml:space="preserve">We have been able to build a large client base through both our direct and indirect branding and marketing initiatives. Our marketing team primarily work on direct branding and marketing initiatives, while our business development team focus on indirect marketing channels, primarily working with existing user traffic channels and explore new ones. Our website, </w:t>
      </w:r>
      <w:r>
        <w:rPr>
          <w:rFonts w:ascii="Times New Roman" w:cs="Times New Roman" w:eastAsia="Times New Roman" w:hAnsi="Times New Roman"/>
          <w:sz w:val="16"/>
          <w:szCs w:val="16"/>
          <w:u w:val="single" w:color="auto"/>
          <w:color w:val="auto"/>
        </w:rPr>
        <w:t>www.qixin18.com</w:t>
      </w:r>
      <w:r>
        <w:rPr>
          <w:rFonts w:ascii="Times New Roman" w:cs="Times New Roman" w:eastAsia="Times New Roman" w:hAnsi="Times New Roman"/>
          <w:sz w:val="16"/>
          <w:szCs w:val="16"/>
          <w:color w:val="auto"/>
        </w:rPr>
        <w:t>, also attracts user traffic channels to cooperate with us, and provide them with technology supports. We co-brand the tailor-made insurance products that we designed and developed together with our insurer partners. For other insurance products, we are not in charge of their branding.</w:t>
      </w:r>
    </w:p>
    <w:p>
      <w:pPr>
        <w:spacing w:after="0" w:line="164"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For direct marketing, in recent years, we have continued to enhance our brand and marketing capabilities in conducting product marketing, user education and brand advertising. For product marketing, we prepare accurate, refined product presentation, and promote the products through professional financial media and social media channels as part of our cooperation with our insurer partners. For user education, we publish or provide educational content, such as popularization of insurance products, basic terms of insurance policies, comparisons of insurance products, analysis of common diseases, insurance purchase strategies for different groups of people and guide to after-purchase services, through various entries of our platform. We develop such content in view of the complexity of insurance products, aiming to help clients make purchase decisions. User education strengthens our brand awareness, builds client trust and enhances conversion of user traffic. For brand advertising, we place advertisements both offline and online. We analyze the main characteristics of our target client group, based on which we select the locations of offline advertisements. We also place advertisements on widely used search engines to reach massive viewers. Therefore, we set up voice courses through WeChat community to answer common questions from potential clients, which allows clients to interact with each other and reinforce the insurance educational contents they acquire. For direct marketing, we pay fees based on user traffic attracted to our platform.</w:t>
      </w:r>
    </w:p>
    <w:p>
      <w:pPr>
        <w:spacing w:after="0" w:line="172" w:lineRule="exact"/>
        <w:rPr>
          <w:sz w:val="20"/>
          <w:szCs w:val="20"/>
          <w:color w:val="auto"/>
        </w:rPr>
      </w:pPr>
    </w:p>
    <w:p>
      <w:pPr>
        <w:ind w:left="700" w:right="40" w:firstLine="393"/>
        <w:spacing w:after="0" w:line="254" w:lineRule="auto"/>
        <w:rPr>
          <w:sz w:val="20"/>
          <w:szCs w:val="20"/>
          <w:color w:val="auto"/>
        </w:rPr>
      </w:pPr>
      <w:r>
        <w:rPr>
          <w:rFonts w:ascii="Times New Roman" w:cs="Times New Roman" w:eastAsia="Times New Roman" w:hAnsi="Times New Roman"/>
          <w:sz w:val="16"/>
          <w:szCs w:val="16"/>
          <w:color w:val="auto"/>
        </w:rPr>
        <w:t>For indirect marketing, we work with user traffic channels, mainly including social media influencers who are key opinion leaders that are active on various emerging media channels. The key opinion leaders we work with typically have full time jobs in professional capacities, such as insurance actuaries, doctors and financial advisors, and have their respective followers on popular social media channels. These user traffic channels have influences over their followers, users or customers, who can potentially become our insurance clients. We provide our user traffic channels with informative articles and reports on insurance in general as well as on specific insurance products that they can tailor to better suit the interests and needs of their followers and users, and then post and share through social media channels. If the followers or users become interested in certain insurance products after reading such articles or reports, they can get access to our platform through the links included in the articles or reports. In this way, we raise the insurance awareness of potential insurance clients and attract them to our platform through our user traffic channels. For certain user traffic channels who have access to high-quality user traffic but lack capabilities of client management and insurance knowledge, we equip them with client service team and resources to guarantee superior insurance experience for the clients they draw to our platform. We provide these user traffic channels with insurance related contents for them to post on their platforms. We assign our client service team to help the clients they guide to our platform complete the insurance transactions and enjoy superior insurance experience. Our cooperation with user traffic channels broadens our reach to potential insurance clients, and help the user traffic channels monetize their user traffic.</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10520"/>
          </w:cols>
          <w:pgMar w:left="320" w:top="447" w:right="10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60" w:firstLine="393"/>
        <w:spacing w:after="0" w:line="255" w:lineRule="auto"/>
        <w:rPr>
          <w:sz w:val="20"/>
          <w:szCs w:val="20"/>
          <w:color w:val="auto"/>
        </w:rPr>
      </w:pPr>
      <w:r>
        <w:rPr>
          <w:rFonts w:ascii="Times New Roman" w:cs="Times New Roman" w:eastAsia="Times New Roman" w:hAnsi="Times New Roman"/>
          <w:sz w:val="16"/>
          <w:szCs w:val="16"/>
          <w:color w:val="auto"/>
        </w:rPr>
        <w:t>We typically enter into cooperative agreements for an initial term of three years with our user traffic channels, some of which can be renewed for another year with the consent of both parties. Pursuant to the terms of such cooperative agreements, we integrate our user traffic channels’ platforms with our online platform to allow users guided from our user traffic channels to purchase insurance policies, make insurance payments and enjoy other client services we provide on our platform. User traffic channels post insurance related contents that have been approved by us, and promote the insurance products we offer on our platform in accordance with applicable laws. We pay our user traffic channels service fees, typically as a certain percentage of the GWP of the transactions completed with clients they attract to our platform. Such service fee rate is set case-by-case based on our negotiation with each user traffic channel, taking into account our relationship with the respective user traffic channel, and its historical and expected contribution to our insurance sales. As we negotiate with each user traffic channel on a case-by-case basis, we are unable to provide a specific range for service fee percentages.</w:t>
      </w:r>
    </w:p>
    <w:p>
      <w:pPr>
        <w:spacing w:after="0" w:line="2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Data and Technology</w:t>
      </w:r>
    </w:p>
    <w:p>
      <w:pPr>
        <w:spacing w:after="0" w:line="107" w:lineRule="exact"/>
        <w:rPr>
          <w:sz w:val="20"/>
          <w:szCs w:val="20"/>
          <w:color w:val="auto"/>
        </w:rPr>
      </w:pPr>
    </w:p>
    <w:p>
      <w:pPr>
        <w:ind w:left="700" w:right="80" w:firstLine="393"/>
        <w:spacing w:after="0" w:line="262" w:lineRule="auto"/>
        <w:rPr>
          <w:sz w:val="20"/>
          <w:szCs w:val="20"/>
          <w:color w:val="auto"/>
        </w:rPr>
      </w:pPr>
      <w:r>
        <w:rPr>
          <w:rFonts w:ascii="Times New Roman" w:cs="Times New Roman" w:eastAsia="Times New Roman" w:hAnsi="Times New Roman"/>
          <w:sz w:val="16"/>
          <w:szCs w:val="16"/>
          <w:color w:val="auto"/>
        </w:rPr>
        <w:t>Technology is the key to our success in improving insurance client experience, enabling active transactions and cooperation and eventually achieving efficiency for our business. Our proprietary technology platform supports our rapidly growing processing capacity requirements, provides us with detailed and accurate information collected through our operation, and enables harnessing of insightful data analytics with big data capabilities. From our client interface to management support systems, our technology platform facilitates smooth execution and seamless data flow.</w:t>
      </w:r>
    </w:p>
    <w:p>
      <w:pPr>
        <w:spacing w:after="0" w:line="161"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The seamless collaboration among our technology and operational teams, together with our big data analytics capability, give us a significant edge in operational efficiency. Our proprietary algorithms are embedded in all critical operational areas, including but not limited to insurance product recommendation, intelligent underwriting, pricing range suggestion and claim settlement services. Our engineers have thorough understanding of the computational needs from different business segments, and are therefore capable of providing technological support to address diversified needs in operating our business.</w:t>
      </w:r>
    </w:p>
    <w:p>
      <w:pPr>
        <w:spacing w:after="0" w:line="2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Data Analytics</w:t>
      </w:r>
    </w:p>
    <w:p>
      <w:pPr>
        <w:spacing w:after="0" w:line="109" w:lineRule="exact"/>
        <w:rPr>
          <w:sz w:val="20"/>
          <w:szCs w:val="20"/>
          <w:color w:val="auto"/>
        </w:rPr>
      </w:pPr>
    </w:p>
    <w:p>
      <w:pPr>
        <w:ind w:left="700" w:right="60" w:firstLine="393"/>
        <w:spacing w:after="0" w:line="259" w:lineRule="auto"/>
        <w:rPr>
          <w:sz w:val="20"/>
          <w:szCs w:val="20"/>
          <w:color w:val="auto"/>
        </w:rPr>
      </w:pPr>
      <w:r>
        <w:rPr>
          <w:rFonts w:ascii="Times New Roman" w:cs="Times New Roman" w:eastAsia="Times New Roman" w:hAnsi="Times New Roman"/>
          <w:sz w:val="16"/>
          <w:szCs w:val="16"/>
          <w:color w:val="auto"/>
        </w:rPr>
        <w:t>Users of our online platform provide us with information when they register on our platform, browse information, place orders for insurance products and use various services and functions of our platform. Our data storage and distribution system stores and processes a massive amount of multi-dimensional user data, including two categories of data—risk-based pricing information and client intelligence data. Risk-based pricing information includes underwriting requirements from insurer partners, rejection data and claim data. Client intelligence data includes client health data, risk exposure information of individual clients and their families and clients’ product preferences.</w:t>
      </w:r>
    </w:p>
    <w:p>
      <w:pPr>
        <w:spacing w:after="0" w:line="164" w:lineRule="exact"/>
        <w:rPr>
          <w:sz w:val="20"/>
          <w:szCs w:val="20"/>
          <w:color w:val="auto"/>
        </w:rPr>
      </w:pPr>
    </w:p>
    <w:p>
      <w:pPr>
        <w:ind w:left="700" w:right="80" w:firstLine="393"/>
        <w:spacing w:after="0" w:line="258" w:lineRule="auto"/>
        <w:rPr>
          <w:sz w:val="20"/>
          <w:szCs w:val="20"/>
          <w:color w:val="auto"/>
        </w:rPr>
      </w:pPr>
      <w:r>
        <w:rPr>
          <w:rFonts w:ascii="Times New Roman" w:cs="Times New Roman" w:eastAsia="Times New Roman" w:hAnsi="Times New Roman"/>
          <w:sz w:val="16"/>
          <w:szCs w:val="16"/>
          <w:color w:val="auto"/>
        </w:rPr>
        <w:t>Our data platform can extract multi-dimensional features from multi-source data in a highly efficient and secure way to support data mining. Our data technology supports our analysis of client behavior, personal and family insurance needs, and their feedbacks to the products and services we provide, which is the basis of our client value exploring initiatives and various client service tools. Based on our analysis, we label complex insurance policy terms and restrictive factors to establish an insurance product atlas, which helps us efficiently analyze insurance products, improve internal training and enhance operational efficiency. Meanwhile, the insurance product atlas we establish enhanced our product design and pricing capabilities, which in turn reinforce our products and services offerings and proper recommendations to clients.</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10500"/>
          </w:cols>
          <w:pgMar w:left="320" w:top="447" w:right="10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60" w:firstLine="393"/>
        <w:spacing w:after="0" w:line="256" w:lineRule="auto"/>
        <w:rPr>
          <w:sz w:val="20"/>
          <w:szCs w:val="20"/>
          <w:color w:val="auto"/>
        </w:rPr>
      </w:pPr>
      <w:r>
        <w:rPr>
          <w:rFonts w:ascii="Times New Roman" w:cs="Times New Roman" w:eastAsia="Times New Roman" w:hAnsi="Times New Roman"/>
          <w:sz w:val="16"/>
          <w:szCs w:val="16"/>
          <w:color w:val="auto"/>
        </w:rPr>
        <w:t>We have accumulated a large amount of data, and established two data pools: client demand data pool and insurance product data pool. Our client demand data pool helps us understand clients’ protection demand in every step of their life cycles, and our insurance product data pool consisting of various detailed product features helps us better understand the competitive landscape and business trend of the supply side of China’s online insurance market. The two data pools have equipped us with significant strength in product design. For example, in 2016, we captured the market needs of protection for high-risk outdoor activities through analyzing our data pools, and launched a popular high risk outdoor activities accident insurance product in China. Moreover, we collaborated with outdoor ecosystem participants such as rescue services providers to meet the specific demands of insurance clients. This product soon proved to be a huge success.</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Technology Infrastructure</w:t>
      </w:r>
    </w:p>
    <w:p>
      <w:pPr>
        <w:spacing w:after="0" w:line="109" w:lineRule="exact"/>
        <w:rPr>
          <w:sz w:val="20"/>
          <w:szCs w:val="20"/>
          <w:color w:val="auto"/>
        </w:rPr>
      </w:pPr>
    </w:p>
    <w:p>
      <w:pPr>
        <w:ind w:left="700" w:firstLine="393"/>
        <w:spacing w:after="0" w:line="267" w:lineRule="auto"/>
        <w:rPr>
          <w:sz w:val="20"/>
          <w:szCs w:val="20"/>
          <w:color w:val="auto"/>
        </w:rPr>
      </w:pPr>
      <w:r>
        <w:rPr>
          <w:rFonts w:ascii="Times New Roman" w:cs="Times New Roman" w:eastAsia="Times New Roman" w:hAnsi="Times New Roman"/>
          <w:sz w:val="16"/>
          <w:szCs w:val="16"/>
          <w:color w:val="auto"/>
        </w:rPr>
        <w:t>We have built a reliable and smart infrastructure with sufficient redundant topologies to ensure high availability and a low risk of downtime. We have also built a scalable cloud infrastructure to minimize cost and sustain performance in periods of high network traffic. We have strategically selected our data center locations in China.</w:t>
      </w:r>
    </w:p>
    <w:p>
      <w:pPr>
        <w:spacing w:after="0" w:line="157" w:lineRule="exact"/>
        <w:rPr>
          <w:sz w:val="20"/>
          <w:szCs w:val="20"/>
          <w:color w:val="auto"/>
        </w:rPr>
      </w:pPr>
    </w:p>
    <w:p>
      <w:pPr>
        <w:ind w:left="700" w:right="180" w:firstLine="393"/>
        <w:spacing w:after="0" w:line="258" w:lineRule="auto"/>
        <w:rPr>
          <w:sz w:val="20"/>
          <w:szCs w:val="20"/>
          <w:color w:val="auto"/>
        </w:rPr>
      </w:pPr>
      <w:r>
        <w:rPr>
          <w:rFonts w:ascii="Times New Roman" w:cs="Times New Roman" w:eastAsia="Times New Roman" w:hAnsi="Times New Roman"/>
          <w:sz w:val="16"/>
          <w:szCs w:val="16"/>
          <w:color w:val="auto"/>
        </w:rPr>
        <w:t>Our technology infrastructure provides 24-7 service that supports second-level horizontal expansion and vertical cross-physical scalability, and holds considerable advantages in compression capacity and traffic distribution solutions. Our technology infrastructure delivers the stability needed to support the high volume of insurance transactions conducted on our platform and data volume, the scalability to support increased volumes over time and the flexibility to quickly launch new insurance product. Empowered by our extensive and carefully designed technology infrastructure, we are capable of serving a growing number of insurance clients efficiently and effectively. We keep updating our technology infrastructure to achieve more cost-efficiency and higher stabilization.</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Our Technology Development Team</w:t>
      </w:r>
    </w:p>
    <w:p>
      <w:pPr>
        <w:spacing w:after="0" w:line="109" w:lineRule="exact"/>
        <w:rPr>
          <w:sz w:val="20"/>
          <w:szCs w:val="20"/>
          <w:color w:val="auto"/>
        </w:rPr>
      </w:pPr>
    </w:p>
    <w:p>
      <w:pPr>
        <w:ind w:left="700" w:right="140" w:firstLine="393"/>
        <w:spacing w:after="0" w:line="284" w:lineRule="auto"/>
        <w:rPr>
          <w:sz w:val="20"/>
          <w:szCs w:val="20"/>
          <w:color w:val="auto"/>
        </w:rPr>
      </w:pPr>
      <w:r>
        <w:rPr>
          <w:rFonts w:ascii="Times New Roman" w:cs="Times New Roman" w:eastAsia="Times New Roman" w:hAnsi="Times New Roman"/>
          <w:sz w:val="16"/>
          <w:szCs w:val="16"/>
          <w:color w:val="auto"/>
        </w:rPr>
        <w:t>Our technology development personnel have extensive experience with leading internet and mobile commerce technology companies, and focus on the following that support our long-term business growth:</w:t>
      </w:r>
    </w:p>
    <w:p>
      <w:pPr>
        <w:spacing w:after="0" w:line="59" w:lineRule="exact"/>
        <w:rPr>
          <w:sz w:val="20"/>
          <w:szCs w:val="20"/>
          <w:color w:val="auto"/>
        </w:rPr>
      </w:pPr>
    </w:p>
    <w:p>
      <w:pPr>
        <w:ind w:left="1580" w:hanging="391"/>
        <w:spacing w:after="0"/>
        <w:tabs>
          <w:tab w:leader="none" w:pos="1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and strengthening all of our platform and application system;</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ensuring our technology system is well established, reviewed, tested and continuously strengthened; and</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actively participating in the industry seminars, exploring relevant cutting-edge technologies.</w:t>
      </w:r>
    </w:p>
    <w:p>
      <w:pPr>
        <w:spacing w:after="0" w:line="2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07" w:lineRule="exact"/>
        <w:rPr>
          <w:sz w:val="20"/>
          <w:szCs w:val="20"/>
          <w:color w:val="auto"/>
        </w:rPr>
      </w:pPr>
    </w:p>
    <w:p>
      <w:pPr>
        <w:ind w:left="700" w:right="160" w:firstLine="393"/>
        <w:spacing w:after="0" w:line="267" w:lineRule="auto"/>
        <w:rPr>
          <w:sz w:val="20"/>
          <w:szCs w:val="20"/>
          <w:color w:val="auto"/>
        </w:rPr>
      </w:pPr>
      <w:r>
        <w:rPr>
          <w:rFonts w:ascii="Times New Roman" w:cs="Times New Roman" w:eastAsia="Times New Roman" w:hAnsi="Times New Roman"/>
          <w:sz w:val="16"/>
          <w:szCs w:val="16"/>
          <w:color w:val="auto"/>
        </w:rPr>
        <w:t>We regard our trademarks, domain names, copyrights, know-how, proprietary technologies and similar intellectual property as critical to our success, and we rely on a combination of trademark and trade secret law as well as confidentiality, invention assignment and non-compete agreements with our employees and other business partners to protect our proprietary rights.</w:t>
      </w:r>
    </w:p>
    <w:p>
      <w:pPr>
        <w:spacing w:after="0" w:line="157" w:lineRule="exact"/>
        <w:rPr>
          <w:sz w:val="20"/>
          <w:szCs w:val="20"/>
          <w:color w:val="auto"/>
        </w:rPr>
      </w:pPr>
    </w:p>
    <w:p>
      <w:pPr>
        <w:ind w:left="700" w:right="40" w:firstLine="393"/>
        <w:spacing w:after="0" w:line="198" w:lineRule="exact"/>
        <w:rPr>
          <w:sz w:val="20"/>
          <w:szCs w:val="20"/>
          <w:color w:val="auto"/>
        </w:rPr>
      </w:pPr>
      <w:r>
        <w:rPr>
          <w:rFonts w:ascii="Times New Roman" w:cs="Times New Roman" w:eastAsia="Times New Roman" w:hAnsi="Times New Roman"/>
          <w:sz w:val="16"/>
          <w:szCs w:val="16"/>
          <w:color w:val="auto"/>
        </w:rPr>
        <w:t>As of December 31, 2022, we held three patents and 28 on-going patent registrations in China. We had registered 569 trademarks with the Trademark Office of the State Administration for Market Regulation in China, including our company’s Chinese name “Huize (</w:t>
      </w:r>
      <w:r>
        <w:rPr>
          <w:rFonts w:ascii="SimSun" w:cs="SimSun" w:eastAsia="SimSun" w:hAnsi="SimSun"/>
          <w:sz w:val="14"/>
          <w:szCs w:val="14"/>
          <w:color w:val="auto"/>
        </w:rPr>
        <w:t>慧择</w:t>
      </w:r>
      <w:r>
        <w:rPr>
          <w:rFonts w:ascii="Times New Roman" w:cs="Times New Roman" w:eastAsia="Times New Roman" w:hAnsi="Times New Roman"/>
          <w:sz w:val="16"/>
          <w:szCs w:val="16"/>
          <w:color w:val="auto"/>
        </w:rPr>
        <w:t>),” 13 trademarks in Hong Kong and three trademarks in the United States. We had registered 105 computer software copyrights registered with the PRC National Copyright Administration. We had 62 registered domain names, including our main website. In addition to the foregoing protections, we generally limit access to and use of our proprietary and other confidential information through the use of internal and external controls.</w:t>
      </w: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Risk Management and Internal Control</w:t>
      </w:r>
    </w:p>
    <w:p>
      <w:pPr>
        <w:spacing w:after="0" w:line="107" w:lineRule="exact"/>
        <w:rPr>
          <w:sz w:val="20"/>
          <w:szCs w:val="20"/>
          <w:color w:val="auto"/>
        </w:rPr>
      </w:pPr>
    </w:p>
    <w:p>
      <w:pPr>
        <w:ind w:left="700" w:right="220" w:firstLine="393"/>
        <w:spacing w:after="0" w:line="258" w:lineRule="auto"/>
        <w:rPr>
          <w:sz w:val="20"/>
          <w:szCs w:val="20"/>
          <w:color w:val="auto"/>
        </w:rPr>
      </w:pPr>
      <w:r>
        <w:rPr>
          <w:rFonts w:ascii="Times New Roman" w:cs="Times New Roman" w:eastAsia="Times New Roman" w:hAnsi="Times New Roman"/>
          <w:sz w:val="16"/>
          <w:szCs w:val="16"/>
          <w:color w:val="auto"/>
        </w:rPr>
        <w:t>We have adopted various policies and procedures to ensure rigorous risk management and internal control, and we are dedicated to continually improving these policies and procedures. We have invested significant resources in our technology system and personnel to support risk management and regulatory compliance, and we have built a robust technology system for the integration with our insurance partners’ systems and the daily functioning of our internal risk management processes. In addition, we have hired professional personnel for accurate underwriting, especially in complicated cases where our intelligent underwriting system cannot derive a conclusion. Our risk management and internal control policies and procedures cover various aspects of our business operations such as fraud prevention, intelligent underwriting, and claim management.</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10520"/>
          </w:cols>
          <w:pgMar w:left="320" w:top="447" w:right="10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Company-wide Internal Control</w:t>
      </w:r>
    </w:p>
    <w:p>
      <w:pPr>
        <w:spacing w:after="0" w:line="1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Internal Control</w:t>
      </w:r>
    </w:p>
    <w:p>
      <w:pPr>
        <w:spacing w:after="0" w:line="107" w:lineRule="exact"/>
        <w:rPr>
          <w:sz w:val="20"/>
          <w:szCs w:val="20"/>
          <w:color w:val="auto"/>
        </w:rPr>
      </w:pPr>
    </w:p>
    <w:p>
      <w:pPr>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We have a dedicated compliance working group consisting of compliance personnel from various business departments. Our legal and compliance department is responsible for formulating our overall internal control and compliance policies, ensuring their implementation and promoting a corporate culture of staying compliant with regulatory requirements. The compliance working group works with our legal department in conducting self-inspection and internal control over various business departments.</w:t>
      </w:r>
    </w:p>
    <w:p>
      <w:pPr>
        <w:spacing w:after="0" w:line="161" w:lineRule="exact"/>
        <w:rPr>
          <w:sz w:val="20"/>
          <w:szCs w:val="20"/>
          <w:color w:val="auto"/>
        </w:rPr>
      </w:pPr>
    </w:p>
    <w:p>
      <w:pPr>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In terms of policy development, we have developed and adopted various internal control policies covering almost all aspects of our business, complaint handling, anti-money laundering, anti-bribery and intellectual property protection. We regularly conduct self-inspection on our business in response to newly promulgated regulatory requirements, and proactively adjust our business operations as needed. We also actively participate in forums or other forms of activities organized by regulatory authorities to closely follow regulatory changes.</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Regulatory Compliance</w:t>
      </w:r>
    </w:p>
    <w:p>
      <w:pPr>
        <w:spacing w:after="0" w:line="107" w:lineRule="exact"/>
        <w:rPr>
          <w:sz w:val="20"/>
          <w:szCs w:val="20"/>
          <w:color w:val="auto"/>
        </w:rPr>
      </w:pPr>
    </w:p>
    <w:p>
      <w:pPr>
        <w:jc w:val="both"/>
        <w:ind w:left="700" w:right="260" w:firstLine="393"/>
        <w:spacing w:after="0" w:line="267" w:lineRule="auto"/>
        <w:rPr>
          <w:sz w:val="20"/>
          <w:szCs w:val="20"/>
          <w:color w:val="auto"/>
        </w:rPr>
      </w:pPr>
      <w:r>
        <w:rPr>
          <w:rFonts w:ascii="Times New Roman" w:cs="Times New Roman" w:eastAsia="Times New Roman" w:hAnsi="Times New Roman"/>
          <w:sz w:val="16"/>
          <w:szCs w:val="16"/>
          <w:color w:val="auto"/>
        </w:rPr>
        <w:t>We have designed and adopted strict internal procedures to ensure compliance to our business operations with all relevant laws and regulations and have established a code of conduct to regulate employees’ behavior and activities. In addition, we continually review the implementation of our risk-management policies and measures to ensure our policies and implementation are effective and sufficient.</w:t>
      </w:r>
    </w:p>
    <w:p>
      <w:pPr>
        <w:spacing w:after="0" w:line="157" w:lineRule="exact"/>
        <w:rPr>
          <w:sz w:val="20"/>
          <w:szCs w:val="20"/>
          <w:color w:val="auto"/>
        </w:rPr>
      </w:pPr>
    </w:p>
    <w:p>
      <w:pPr>
        <w:ind w:left="700" w:right="180" w:firstLine="393"/>
        <w:spacing w:after="0" w:line="262" w:lineRule="auto"/>
        <w:rPr>
          <w:sz w:val="20"/>
          <w:szCs w:val="20"/>
          <w:color w:val="auto"/>
        </w:rPr>
      </w:pPr>
      <w:r>
        <w:rPr>
          <w:rFonts w:ascii="Times New Roman" w:cs="Times New Roman" w:eastAsia="Times New Roman" w:hAnsi="Times New Roman"/>
          <w:sz w:val="16"/>
          <w:szCs w:val="16"/>
          <w:color w:val="auto"/>
        </w:rPr>
        <w:t>We work closely with relevant government agencies that have jurisdiction over our business. We maintain frequent communications with government agencies before implementing new business initiatives or when regulatory uncertainties arise as new laws or regulations are promulgated. We actively provide our inputs on proposed regulations that are subject to public comments. We are often invited to comment on proposed regulations by relevant government authorities during the comment solicitation process.</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Data Privacy and Safety</w:t>
      </w:r>
    </w:p>
    <w:p>
      <w:pPr>
        <w:spacing w:after="0" w:line="107"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We have implemented procedures and guidelines to regulate us and our employees’ actions in relation to user data in order to protect user privacy and data security. We also have adopted an access control mechanism to ensure implementation of least privilege and need-to-know principles and to protect user privacy while meeting business requirements. The client information we provide to our insurer partners are on a need-to-know basis, and are redacted and encrypted. In addition, we employ technical solutions to prevent and detect risks and vulnerabilities in user privacy and data security, such as encryption, firewall, vulnerability scanning and log audit. We store and transmit user data in encrypted format on separate servers. We do not share any input data from our users or any user insight data with third parties or allow third parties to access user data stored on our servers without proper authorization from users, and we also utilize firewalls to protect against potential cyber-attacks or unauthorized access. We periodically audit our systems and procedures to detect information security risks and privacy risks.</w:t>
      </w: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Insurance Product-oriented Risk Management</w:t>
      </w:r>
    </w:p>
    <w:p>
      <w:pPr>
        <w:spacing w:after="0" w:line="1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Fraud Prevention</w:t>
      </w:r>
    </w:p>
    <w:p>
      <w:pPr>
        <w:spacing w:after="0" w:line="107" w:lineRule="exact"/>
        <w:rPr>
          <w:sz w:val="20"/>
          <w:szCs w:val="20"/>
          <w:color w:val="auto"/>
        </w:rPr>
      </w:pPr>
    </w:p>
    <w:p>
      <w:pPr>
        <w:ind w:left="700" w:right="340" w:firstLine="393"/>
        <w:spacing w:after="0" w:line="267" w:lineRule="auto"/>
        <w:rPr>
          <w:sz w:val="20"/>
          <w:szCs w:val="20"/>
          <w:color w:val="auto"/>
        </w:rPr>
      </w:pPr>
      <w:r>
        <w:rPr>
          <w:rFonts w:ascii="Times New Roman" w:cs="Times New Roman" w:eastAsia="Times New Roman" w:hAnsi="Times New Roman"/>
          <w:sz w:val="16"/>
          <w:szCs w:val="16"/>
          <w:color w:val="auto"/>
        </w:rPr>
        <w:t>Our fraud prevention system uses a multi-faceted detection process to identify both individual and collusive frauds. We use our existing fraud databases, including credit blacklists we maintain, as well as continuously update our fraud database with new information from similar insurance clients to improve the effectiveness of our fraud detection.</w:t>
      </w:r>
    </w:p>
    <w:p>
      <w:pPr>
        <w:spacing w:after="0" w:line="157" w:lineRule="exact"/>
        <w:rPr>
          <w:sz w:val="20"/>
          <w:szCs w:val="20"/>
          <w:color w:val="auto"/>
        </w:rPr>
      </w:pPr>
    </w:p>
    <w:p>
      <w:pPr>
        <w:ind w:left="700" w:firstLine="393"/>
        <w:spacing w:after="0" w:line="267" w:lineRule="auto"/>
        <w:rPr>
          <w:sz w:val="20"/>
          <w:szCs w:val="20"/>
          <w:color w:val="auto"/>
        </w:rPr>
      </w:pPr>
      <w:r>
        <w:rPr>
          <w:rFonts w:ascii="Times New Roman" w:cs="Times New Roman" w:eastAsia="Times New Roman" w:hAnsi="Times New Roman"/>
          <w:sz w:val="16"/>
          <w:szCs w:val="16"/>
          <w:color w:val="auto"/>
        </w:rPr>
        <w:t>We have established an internal risk alert system and constantly monitor the insurance status of our insurance clients, including their transaction frequency and distribution, insurance amount and premium. The various dimension real-time monitoring ensures that we can take appropriate and timely steps when risks arise. Our client database is updated from time to time based on our continuing evaluation.</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10540"/>
          </w:cols>
          <w:pgMar w:left="320" w:top="447" w:right="10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160" w:firstLine="393"/>
        <w:spacing w:after="0" w:line="262" w:lineRule="auto"/>
        <w:rPr>
          <w:sz w:val="20"/>
          <w:szCs w:val="20"/>
          <w:color w:val="auto"/>
        </w:rPr>
      </w:pPr>
      <w:r>
        <w:rPr>
          <w:rFonts w:ascii="Times New Roman" w:cs="Times New Roman" w:eastAsia="Times New Roman" w:hAnsi="Times New Roman"/>
          <w:sz w:val="16"/>
          <w:szCs w:val="16"/>
          <w:color w:val="auto"/>
        </w:rPr>
        <w:t>Through analyzing clients’ behavioral data and transaction data, we developed our anti-fraud blacklist database to enhance our risk management capabilities. We also work with third-party data providers to identify high-risk users during the client consultation phase and conduct pre-transaction interception. We believe our robust fraud prevention system gives us an edge over our competitors, which encourages our insurer partners to maintain their long-term cooperative relationship with us and offer insurance products on our platform at competitive prices.</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Intelligent Underwriting</w:t>
      </w:r>
    </w:p>
    <w:p>
      <w:pPr>
        <w:spacing w:after="0" w:line="107"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We continually improve the algorithm we use for our intelligent underwriting system, and provide regular training to our client service representatives who are in charge of answering underwriting related queries from our insurance clients to ensure that our intelligent underwriting system, while saving the time and trouble of human underwriting, effectively screens eligibility of insurance clients for each insurance product. Our intelligent underwriting system improves efficiency and offers rigorous risk management to our insurer partners. Our system coded the underwriting criteria set by each insurer partners we cooperate with, which makes it comprehensive in making assessment. It is reinforced by cumulative underwriting and claim data and could also be customized for newly designed insurance products.</w:t>
      </w:r>
    </w:p>
    <w:p>
      <w:pPr>
        <w:spacing w:after="0" w:line="2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Claim Management</w:t>
      </w:r>
    </w:p>
    <w:p>
      <w:pPr>
        <w:spacing w:after="0" w:line="107" w:lineRule="exact"/>
        <w:rPr>
          <w:sz w:val="20"/>
          <w:szCs w:val="20"/>
          <w:color w:val="auto"/>
        </w:rPr>
      </w:pPr>
    </w:p>
    <w:p>
      <w:pPr>
        <w:ind w:left="700" w:right="100" w:firstLine="393"/>
        <w:spacing w:after="0" w:line="284" w:lineRule="auto"/>
        <w:rPr>
          <w:sz w:val="20"/>
          <w:szCs w:val="20"/>
          <w:color w:val="auto"/>
        </w:rPr>
      </w:pPr>
      <w:r>
        <w:rPr>
          <w:rFonts w:ascii="Times New Roman" w:cs="Times New Roman" w:eastAsia="Times New Roman" w:hAnsi="Times New Roman"/>
          <w:sz w:val="16"/>
          <w:szCs w:val="16"/>
          <w:color w:val="auto"/>
        </w:rPr>
        <w:t>Through providing services to facilitate claim settlement for our insurance clients, we have collected a large volume of relevant data. By utilizing this data, we continually optimize our risk management models and further enhance our claim management capabilities.</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07" w:lineRule="exact"/>
        <w:rPr>
          <w:sz w:val="20"/>
          <w:szCs w:val="20"/>
          <w:color w:val="auto"/>
        </w:rPr>
      </w:pPr>
    </w:p>
    <w:p>
      <w:pPr>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The online insurance product and service industry in China is intensely competitive. Our current or potential competitors include (i) other online independent insurance product and service platforms, (ii) traditional insurance intermediaries, (iii) online direct sales channels of large insurance companies, (iv) major internet companies that have commenced insurance distribution businesses, and (v) other online insurance technology players. We compete primarily on the basis of:</w:t>
      </w:r>
    </w:p>
    <w:p>
      <w:pPr>
        <w:spacing w:after="0" w:line="76" w:lineRule="exact"/>
        <w:rPr>
          <w:sz w:val="20"/>
          <w:szCs w:val="20"/>
          <w:color w:val="auto"/>
        </w:rPr>
      </w:pPr>
    </w:p>
    <w:p>
      <w:pPr>
        <w:ind w:left="1580" w:hanging="391"/>
        <w:spacing w:after="0"/>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unparalleled operating history and large insurance client base;</w:t>
      </w:r>
    </w:p>
    <w:p>
      <w:pPr>
        <w:spacing w:after="0" w:line="117" w:lineRule="exact"/>
        <w:rPr>
          <w:rFonts w:ascii="Times New Roman" w:cs="Times New Roman" w:eastAsia="Times New Roman" w:hAnsi="Times New Roman"/>
          <w:sz w:val="16"/>
          <w:szCs w:val="16"/>
          <w:color w:val="auto"/>
        </w:rPr>
      </w:pPr>
    </w:p>
    <w:p>
      <w:pPr>
        <w:ind w:left="1580" w:right="100" w:hanging="391"/>
        <w:spacing w:after="0" w:line="284" w:lineRule="auto"/>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expertise in understanding young generation’s demand for long-term life and health insurance products and our capability of selecting and mobilizing suitable products to meet their fast-changing demands;</w:t>
      </w:r>
    </w:p>
    <w:p>
      <w:pPr>
        <w:spacing w:after="0" w:line="58"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capability of designing and developing tailor-made insurance products;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robust client acquisition channels and efficient client conversion capabilities;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provide best-in-class insurance client service and experience online; and</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well-established business relationship with insurer partners continuously reinforced by our exceptional risk management capabilities.</w:t>
      </w:r>
    </w:p>
    <w:p>
      <w:pPr>
        <w:spacing w:after="0" w:line="2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Insurance</w:t>
      </w:r>
    </w:p>
    <w:p>
      <w:pPr>
        <w:spacing w:after="0" w:line="107" w:lineRule="exact"/>
        <w:rPr>
          <w:sz w:val="20"/>
          <w:szCs w:val="20"/>
          <w:color w:val="auto"/>
        </w:rPr>
      </w:pPr>
    </w:p>
    <w:p>
      <w:pPr>
        <w:ind w:left="700" w:right="220" w:firstLine="393"/>
        <w:spacing w:after="0" w:line="262" w:lineRule="auto"/>
        <w:rPr>
          <w:sz w:val="20"/>
          <w:szCs w:val="20"/>
          <w:color w:val="auto"/>
        </w:rPr>
      </w:pPr>
      <w:r>
        <w:rPr>
          <w:rFonts w:ascii="Times New Roman" w:cs="Times New Roman" w:eastAsia="Times New Roman" w:hAnsi="Times New Roman"/>
          <w:sz w:val="16"/>
          <w:szCs w:val="16"/>
          <w:color w:val="auto"/>
        </w:rPr>
        <w:t>We maintain certain insurance policies to safeguard us against risks and unexpected events, including insurance broker/agent practice liability insurance. We provide social security insurance including pension insurance, unemployment insurance, work-related injury insurance, maternity insurance and medical insurance for our employees in compliance with applicable PRC laws. We do not maintain business interruption insurance. We consider our insurance coverage to be sufficient for our business operations in China.</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10540"/>
          </w:cols>
          <w:pgMar w:left="320" w:top="447" w:right="10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07" w:lineRule="exact"/>
        <w:rPr>
          <w:sz w:val="20"/>
          <w:szCs w:val="20"/>
          <w:color w:val="auto"/>
        </w:rPr>
      </w:pPr>
    </w:p>
    <w:p>
      <w:pPr>
        <w:ind w:left="700" w:right="180" w:firstLine="393"/>
        <w:spacing w:after="0" w:line="267" w:lineRule="auto"/>
        <w:rPr>
          <w:sz w:val="20"/>
          <w:szCs w:val="20"/>
          <w:color w:val="auto"/>
        </w:rPr>
      </w:pPr>
      <w:r>
        <w:rPr>
          <w:rFonts w:ascii="Times New Roman" w:cs="Times New Roman" w:eastAsia="Times New Roman" w:hAnsi="Times New Roman"/>
          <w:sz w:val="16"/>
          <w:szCs w:val="16"/>
          <w:color w:val="auto"/>
        </w:rPr>
        <w:t>We are currently not involved in any material legal or administrative proceedings. From time to time, we may be subject to various legal or administrative claims and proceedings arising in the ordinary course of business. Such legal or administrative claims and proceedings, even if without merit, could result in the expenditure of financial and management resources and potentially result in civil liability for damages.</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Regulation</w:t>
      </w:r>
    </w:p>
    <w:p>
      <w:pPr>
        <w:spacing w:after="0" w:line="1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Regulations on Foreign Investment</w:t>
      </w:r>
    </w:p>
    <w:p>
      <w:pPr>
        <w:spacing w:after="0" w:line="109" w:lineRule="exact"/>
        <w:rPr>
          <w:sz w:val="20"/>
          <w:szCs w:val="20"/>
          <w:color w:val="auto"/>
        </w:rPr>
      </w:pPr>
    </w:p>
    <w:p>
      <w:pPr>
        <w:ind w:left="700" w:right="80" w:firstLine="393"/>
        <w:spacing w:after="0" w:line="256" w:lineRule="auto"/>
        <w:rPr>
          <w:sz w:val="20"/>
          <w:szCs w:val="20"/>
          <w:color w:val="auto"/>
        </w:rPr>
      </w:pPr>
      <w:r>
        <w:rPr>
          <w:rFonts w:ascii="Times New Roman" w:cs="Times New Roman" w:eastAsia="Times New Roman" w:hAnsi="Times New Roman"/>
          <w:sz w:val="16"/>
          <w:szCs w:val="16"/>
          <w:color w:val="auto"/>
        </w:rPr>
        <w:t>The Foreign Investment Law of the PRC, or the Foreign Investment Law, was formally adopted by the 2nd session of the thirteenth National People’s Congress on March 15, 2019, and became effective on January 1, 2020. The Foreign Investment Law is formulated to further expand opening-up, vigorously promote foreign investment and protect the legitimate rights and interests of foreign investors. According to the Foreign Investment Law, foreign investments are entitled to pre-entry national treatment and are subject to negative list management system. The pre-entry national treatment means that the treatment given to foreign investors and their investments at the stage of investment access is not lower than that of domestic investors and their investments. The negative list management system means that the state implements special administrative procedures for access of foreign investment in specific fields. Foreign investors shall not invest in any forbidden fields stipulated in the negative list and shall meet the conditions stipulated in the negative list before investing in any restricted fields.</w:t>
      </w:r>
    </w:p>
    <w:p>
      <w:pPr>
        <w:spacing w:after="0" w:line="165"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Foreign investors’ investment, earnings and other legitimate rights and interests within the territory of China shall be protected in accordance with the law, and all national policies on supporting the development of enterprises shall equally apply to foreign-invested enterprises. The state guarantees that foreign-invested enterprises participate in the formulation of standards in an equal manner. The state guarantees that foreign-invested enterprises participate in government procurement activities through fair competition in accordance with the law. The State shall not expropriate any foreign investment except under special circumstances. In special circumstances, the state may levy or expropriate the investment of foreign investors in accordance with the law for the needs of the public interest. The expropriation and requisition shall be conducted in accordance with legal procedures and timely and reasonable compensation shall be given. In carrying out business activities, foreign-invested enterprises shall comply with relevant provisions on labor protection, social insurance, tax, accounting, foreign exchange and other matters stipulated in laws and regulations.</w:t>
      </w:r>
    </w:p>
    <w:p>
      <w:pPr>
        <w:spacing w:after="0" w:line="165" w:lineRule="exact"/>
        <w:rPr>
          <w:sz w:val="20"/>
          <w:szCs w:val="20"/>
          <w:color w:val="auto"/>
        </w:rPr>
      </w:pPr>
    </w:p>
    <w:p>
      <w:pPr>
        <w:ind w:left="700" w:right="20" w:firstLine="393"/>
        <w:spacing w:after="0" w:line="258" w:lineRule="auto"/>
        <w:rPr>
          <w:sz w:val="20"/>
          <w:szCs w:val="20"/>
          <w:color w:val="auto"/>
        </w:rPr>
      </w:pPr>
      <w:r>
        <w:rPr>
          <w:rFonts w:ascii="Times New Roman" w:cs="Times New Roman" w:eastAsia="Times New Roman" w:hAnsi="Times New Roman"/>
          <w:sz w:val="16"/>
          <w:szCs w:val="16"/>
          <w:color w:val="auto"/>
        </w:rPr>
        <w:t>From January 1, 2020, the Wholly Foreign-Owned Enterprises Law of the PRC, together with the Law of the People’s Republic of China on Sino-Foreign Equity Joint Ventures and the Law of the People’s Republic of China on Sino-Foreign Cooperative Joint Ventures shall be abolished. The organization form, organization and activities of foreign-invested enterprises shall be governed by the laws of the Company Law of the People’s Republic of China and the Partnership Enterprise Law of the People’s Republic of China. Foreign-invested enterprises established before the implementation of the Foreign Investment Law may retain the original business organization and so on within five years after the implementation of the Foreign Investment Law.</w:t>
      </w:r>
    </w:p>
    <w:p>
      <w:pPr>
        <w:spacing w:after="0" w:line="163"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On December 26, 2019, the State Council promulgated the Implementation Regulations on the Foreign Investment Law, which came into effect on January 1, 2020, and it further requires that foreign-invested enterprises and domestic enterprises shall be treated equally with respect to policy making and implementation. Pursuant to the Implementation Regulations on the Foreign Investment Law, if the existing foreign-invested enterprises fail to change their original forms as of January 1, 2025, the relevant market regulation departments will not process other registration matters for the enterprises, and may disclose their relevant information to the public.</w:t>
      </w:r>
    </w:p>
    <w:p>
      <w:pPr>
        <w:spacing w:after="0" w:line="164" w:lineRule="exact"/>
        <w:rPr>
          <w:sz w:val="20"/>
          <w:szCs w:val="20"/>
          <w:color w:val="auto"/>
        </w:rPr>
      </w:pPr>
    </w:p>
    <w:p>
      <w:pPr>
        <w:ind w:left="700" w:right="60" w:firstLine="393"/>
        <w:spacing w:after="0" w:line="255" w:lineRule="auto"/>
        <w:rPr>
          <w:sz w:val="20"/>
          <w:szCs w:val="20"/>
          <w:color w:val="auto"/>
        </w:rPr>
      </w:pPr>
      <w:r>
        <w:rPr>
          <w:rFonts w:ascii="Times New Roman" w:cs="Times New Roman" w:eastAsia="Times New Roman" w:hAnsi="Times New Roman"/>
          <w:sz w:val="16"/>
          <w:szCs w:val="16"/>
          <w:color w:val="auto"/>
        </w:rPr>
        <w:t>On December 30, 2019, the MOFCOM and the State Administration for Market Regulation jointly issued the Measures for Reporting of Foreign Investment Information, or the Foreign Investment Information Measures, which came into effect on January 1, 2020, and replaced the Interim Administrative Measures for the Record-filing of the Establishment and Modification of Foreign-invested Enterprises. Since January 1, 2020, for foreign investors carrying out investment activities directly or indirectly in the PRC, foreign investors or foreign-invested enterprises shall submit investment information through the Enterprise Registration System and the National Enterprise Credit Information Publicity System operated by the State Administration for Market Regulation. Foreign investors or foreign-invested enterprises shall disclose their investment information by submitting reports for their establishments, modifications and cancellations and their annual reports in accordance with the Foreign Investment Information Measures. If a foreign-invested enterprise investing in the PRC has finished submitting its reports for its establishment, modifications and cancellation and its annual reports, the relevant information will be shared by the competent market regulation department to the competent commercial department, and does not require such foreign-invested enterprise to submit the reports separately.</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10520"/>
          </w:cols>
          <w:pgMar w:left="320" w:top="447" w:right="10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140" w:firstLine="393"/>
        <w:spacing w:after="0" w:line="256" w:lineRule="auto"/>
        <w:rPr>
          <w:sz w:val="20"/>
          <w:szCs w:val="20"/>
          <w:color w:val="auto"/>
        </w:rPr>
      </w:pPr>
      <w:r>
        <w:rPr>
          <w:rFonts w:ascii="Times New Roman" w:cs="Times New Roman" w:eastAsia="Times New Roman" w:hAnsi="Times New Roman"/>
          <w:sz w:val="16"/>
          <w:szCs w:val="16"/>
          <w:color w:val="auto"/>
        </w:rPr>
        <w:t>On December 19, 2020, the NDRC and the MOFCOM promulgated the Measures for Security Review of Foreign Investment, with an effective date of January 18, 2021. The Foreign Investment Security Review Mechanism (the “Security Review Mechanism”) in charge of organization, coordination and guidance of foreign investment security review is thereunder established. A working mechanism office shall be established under NDRC, and be jointly led by NDRC and MOFCOM to undertake routine work on the security review of foreign investment. According to the Security Review Mechanism, foreign investment activities that fall within the ambit of the new Measures or obtain actual control over the target enterprises covered by the new Measures shall take the initiative to make a declaration to the working mechanism office prior to making any investments. Such activities include important cultural products and services, important information technologies and internet products and services, important financial services, key technologies and other important fields that concern national security.</w:t>
      </w: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Foreign Investment Industrial Policy</w:t>
      </w:r>
    </w:p>
    <w:p>
      <w:pPr>
        <w:spacing w:after="0" w:line="109" w:lineRule="exact"/>
        <w:rPr>
          <w:sz w:val="20"/>
          <w:szCs w:val="20"/>
          <w:color w:val="auto"/>
        </w:rPr>
      </w:pPr>
    </w:p>
    <w:p>
      <w:pPr>
        <w:ind w:left="700" w:right="60" w:firstLine="393"/>
        <w:spacing w:after="0" w:line="258" w:lineRule="auto"/>
        <w:rPr>
          <w:sz w:val="20"/>
          <w:szCs w:val="20"/>
          <w:color w:val="auto"/>
        </w:rPr>
      </w:pPr>
      <w:r>
        <w:rPr>
          <w:rFonts w:ascii="Times New Roman" w:cs="Times New Roman" w:eastAsia="Times New Roman" w:hAnsi="Times New Roman"/>
          <w:sz w:val="16"/>
          <w:szCs w:val="16"/>
          <w:color w:val="auto"/>
        </w:rPr>
        <w:t>Investments in the PRC by foreign investors are regulated by the Catalog for the Guidance of Foreign Investment Industries, or the Catalogue. On February 11, 2002, the State Council promulgated the Provisions for Guiding the Foreign Investments Direction. Pursuant to the Provisions for Guiding the Foreign Investments Direction, foreign investment projects are categorized as encouraged, permitted, restricted and prohibited. Foreign Investment Projects that are categorized as encouraged, restricted, and prohibited are listed under the Catalogue, the Foreign Investment Projects that are not categorized as encouraged, restricted, or prohibited are permitted Foreign Investment Projects. Permitted Foreign Investment Projects are not listed under the Industry Catalog for Guiding Foreign Investment.</w:t>
      </w:r>
    </w:p>
    <w:p>
      <w:pPr>
        <w:spacing w:after="0" w:line="163"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On December 27, 2021, the NDRC and the MOFCOM jointly promulgated the Special Administrative Measures for Access of Foreign Investment (Negative List) (2021 Edition), or the 2021 Negative List, which took effect on January 1, 2022. According to the 2021 Negative List, internet information services fall within the scope of value-added telecommunications services (except for e-commerce, domestic multi-party communication, storage and forwarding classes and call centers), which are under the “restricted” category.</w:t>
      </w:r>
    </w:p>
    <w:p>
      <w:pPr>
        <w:spacing w:after="0" w:line="161" w:lineRule="exact"/>
        <w:rPr>
          <w:sz w:val="20"/>
          <w:szCs w:val="20"/>
          <w:color w:val="auto"/>
        </w:rPr>
      </w:pPr>
    </w:p>
    <w:p>
      <w:pPr>
        <w:ind w:left="700" w:right="60" w:firstLine="393"/>
        <w:spacing w:after="0" w:line="254" w:lineRule="auto"/>
        <w:rPr>
          <w:sz w:val="20"/>
          <w:szCs w:val="20"/>
          <w:color w:val="auto"/>
        </w:rPr>
      </w:pPr>
      <w:r>
        <w:rPr>
          <w:rFonts w:ascii="Times New Roman" w:cs="Times New Roman" w:eastAsia="Times New Roman" w:hAnsi="Times New Roman"/>
          <w:sz w:val="16"/>
          <w:szCs w:val="16"/>
          <w:color w:val="auto"/>
        </w:rPr>
        <w:t>According to the Announcement of the China Insurance Regulatory Commission on Permitting the Establishment of Wholly Foreign-invested Insurance Brokerage Companies by Foreign Insurance Brokerage Companies, which was promulgated by China Insurance Regulatory Commission (currently known as the China Banking and Insurance Regulatory Commission), or the CIRC, on December 11, 2006, and became effective on the same day, in five years following China’s the accession into the WTO, the establishment of WFOE to engage in insurance brokerage services shall be permitted. There shall be no other restrictions except those on the establishment conditions and business scopes. In addition, Circular of the China Banking and Insurance Regulatory Commission on Lifting Limits on the Business Scope of Foreign-invested Insurance Brokerage Companies, which was promulgated by China Banking and Insurance Regulatory Commission, or the CBIRC, on April 27, 2018, and became effective on the same day, stipulates that foreign-invested insurance brokerage companies that have obtained a License for Operating Insurance Brokerage Services, or an Insurance Brokerage License, upon approval by the relevant insurance regulatory authority may conduct the following insurance brokerage business within the territory of the PRC: (i) design insurance policy plans, select insurers and handle insurance formalities for policy holders; (ii) assist the insured or beneficiaries with insurance claims; (iii) reinsurance brokerage business; (iv) provide principals with services on disaster prevention, loss prevention, risk assessment and risk management consulting; and (v) other business approved by the CBIRC.</w:t>
      </w:r>
    </w:p>
    <w:p>
      <w:pPr>
        <w:spacing w:after="0" w:line="170" w:lineRule="exact"/>
        <w:rPr>
          <w:sz w:val="20"/>
          <w:szCs w:val="20"/>
          <w:color w:val="auto"/>
        </w:rPr>
      </w:pPr>
    </w:p>
    <w:p>
      <w:pPr>
        <w:ind w:left="700" w:right="220" w:firstLine="393"/>
        <w:spacing w:after="0" w:line="256" w:lineRule="auto"/>
        <w:rPr>
          <w:sz w:val="20"/>
          <w:szCs w:val="20"/>
          <w:color w:val="auto"/>
        </w:rPr>
      </w:pPr>
      <w:r>
        <w:rPr>
          <w:rFonts w:ascii="Times New Roman" w:cs="Times New Roman" w:eastAsia="Times New Roman" w:hAnsi="Times New Roman"/>
          <w:sz w:val="16"/>
          <w:szCs w:val="16"/>
          <w:color w:val="auto"/>
        </w:rPr>
        <w:t>In addition, on December 3, 2021, the CBIRC promulgated the Notice of the Relevant Measures for Clarifying the Opening up of the Insurance Intermediary Market, or the Notice, for the purposes of opening up the insurance industry and promoting a sound and orderly development of the insurance industry. The Notice provides that (i) foreign insurance brokerage companies with solid business operations overseas, if complying with relevant regulations of the CBIRC, are allowed to establish insurance brokerage companies in China to engage in insurance brokerage business;</w:t>
      </w:r>
    </w:p>
    <w:p>
      <w:pPr>
        <w:spacing w:after="0" w:line="3" w:lineRule="exact"/>
        <w:rPr>
          <w:sz w:val="20"/>
          <w:szCs w:val="20"/>
          <w:color w:val="auto"/>
        </w:rPr>
      </w:pPr>
    </w:p>
    <w:p>
      <w:pPr>
        <w:ind w:left="700" w:firstLine="7"/>
        <w:spacing w:after="0" w:line="254" w:lineRule="auto"/>
        <w:tabs>
          <w:tab w:leader="none" w:pos="93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specialized insurance intermediaries, including insurance agencies, insurance brokerage companies, and insurance adjustment assessment institutions established in China by foreign insurance corporate groups and foreign-funded insurance corporate groups, are allowed to engage in relevant insurance intermediary business; and (iii) before engaging in relevant insurance intermediary business, foreign-invested specialized insurance intermediaries shall, as applicable, fulfill their obligations to file with or obtain approvals, licenses or permits from relevant authorities, and the relevant provisions of CBIRC on specialized insurance intermediaries shall apply to the business scope and market access standards.</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10540"/>
          </w:cols>
          <w:pgMar w:left="320" w:top="447" w:right="10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Regulations on Insurance Intermediary Business</w:t>
      </w:r>
    </w:p>
    <w:p>
      <w:pPr>
        <w:spacing w:after="0" w:line="1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Regulatory Authority</w:t>
      </w:r>
    </w:p>
    <w:p>
      <w:pPr>
        <w:spacing w:after="0" w:line="109"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The CBIRC has extensive authority to supervise and regulate the insurance industry in China. In line with the Reform Program of the State Council, released by National People’s Congress in March 2023, the National Financial Regulatory Administration, or the NFRA, will be responsible for regulating the financial industry, excluding the securities industry. It will strengthen institutional regulation, behavioral regulation, functional regulation, penetrative regulation, and continuous regulation, and will be responsible for coordinating the protection of financial consumer rights. It aims to enhance risk management and prevention and disposal, investigates and punishes illegal and irregular behavior in accordance with the law, and serves as a directly affiliated agency of the State Council.</w:t>
      </w:r>
    </w:p>
    <w:p>
      <w:pPr>
        <w:spacing w:after="0" w:line="163" w:lineRule="exact"/>
        <w:rPr>
          <w:sz w:val="20"/>
          <w:szCs w:val="20"/>
          <w:color w:val="auto"/>
        </w:rPr>
      </w:pPr>
    </w:p>
    <w:p>
      <w:pPr>
        <w:ind w:left="700" w:right="380" w:firstLine="393"/>
        <w:spacing w:after="0" w:line="267" w:lineRule="auto"/>
        <w:rPr>
          <w:sz w:val="20"/>
          <w:szCs w:val="20"/>
          <w:color w:val="auto"/>
        </w:rPr>
      </w:pPr>
      <w:r>
        <w:rPr>
          <w:rFonts w:ascii="Times New Roman" w:cs="Times New Roman" w:eastAsia="Times New Roman" w:hAnsi="Times New Roman"/>
          <w:sz w:val="16"/>
          <w:szCs w:val="16"/>
          <w:color w:val="auto"/>
        </w:rPr>
        <w:t>The CBIRC will be incorporated into the NFRA, and the daily regulatory responsibilities of the People’s Bank of China for financial holding companies and other financial groups, as well as the responsibilities for consumer protection in the financial sector, and the investor protection responsibilities of the CSRC are also transferred to the NFRA.</w:t>
      </w:r>
    </w:p>
    <w:p>
      <w:pPr>
        <w:spacing w:after="0" w:line="157" w:lineRule="exact"/>
        <w:rPr>
          <w:sz w:val="20"/>
          <w:szCs w:val="20"/>
          <w:color w:val="auto"/>
        </w:rPr>
      </w:pPr>
    </w:p>
    <w:p>
      <w:pPr>
        <w:ind w:left="700" w:right="60" w:firstLine="393"/>
        <w:spacing w:after="0" w:line="259" w:lineRule="auto"/>
        <w:rPr>
          <w:sz w:val="20"/>
          <w:szCs w:val="20"/>
          <w:color w:val="auto"/>
        </w:rPr>
      </w:pPr>
      <w:r>
        <w:rPr>
          <w:rFonts w:ascii="Times New Roman" w:cs="Times New Roman" w:eastAsia="Times New Roman" w:hAnsi="Times New Roman"/>
          <w:sz w:val="16"/>
          <w:szCs w:val="16"/>
          <w:color w:val="auto"/>
        </w:rPr>
        <w:t>The CBIRC will no longer be retained. The CBIRC was established by a merger of China Banking Regulatory Commission, or the CBRC and the CIRC. The CBIRC is directly subordinate to the State Council, and with the State Council’s authorization, the CBIRC functions as a centralized institution with administrative oversight and competence over China’s banking and insurance industries in line with PRC laws and regulations. The CBIRC and its detached offices constitute the regulatory system for insurance industry. Before that, the CIRC had functioned as the regulatory body for insurance industry, and its major regulatory duties on the insurance industry include and are not limited to:</w:t>
      </w:r>
    </w:p>
    <w:p>
      <w:pPr>
        <w:spacing w:after="0" w:line="80" w:lineRule="exact"/>
        <w:rPr>
          <w:sz w:val="20"/>
          <w:szCs w:val="20"/>
          <w:color w:val="auto"/>
        </w:rPr>
      </w:pPr>
    </w:p>
    <w:p>
      <w:pPr>
        <w:ind w:left="1580" w:right="60" w:hanging="391"/>
        <w:spacing w:after="0" w:line="284" w:lineRule="auto"/>
        <w:tabs>
          <w:tab w:leader="none" w:pos="1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drafting laws and regulations for the supervision and regulation of the insurance industry and formulating industry rules and regulations of the insurance industry;</w:t>
      </w:r>
    </w:p>
    <w:p>
      <w:pPr>
        <w:spacing w:after="0" w:line="58"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the establishment of representative offices by overseas insurance institutions;</w:t>
      </w:r>
    </w:p>
    <w:p>
      <w:pPr>
        <w:spacing w:after="0" w:line="117" w:lineRule="exact"/>
        <w:rPr>
          <w:rFonts w:ascii="Times New Roman" w:cs="Times New Roman" w:eastAsia="Times New Roman" w:hAnsi="Times New Roman"/>
          <w:sz w:val="16"/>
          <w:szCs w:val="16"/>
          <w:color w:val="auto"/>
        </w:rPr>
      </w:pPr>
    </w:p>
    <w:p>
      <w:pPr>
        <w:ind w:left="1580" w:right="520" w:hanging="391"/>
        <w:spacing w:after="0" w:line="284" w:lineRule="auto"/>
        <w:tabs>
          <w:tab w:leader="none" w:pos="1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the establishment of insurance intermediaries such as insurance agencies, insurance brokerage companies, insurance loss adjusting companies and their respective branches;</w:t>
      </w:r>
    </w:p>
    <w:p>
      <w:pPr>
        <w:spacing w:after="0" w:line="58"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the establishment of overseas insurance institutions by domestic insurance and non-insurance institutions;</w:t>
      </w:r>
    </w:p>
    <w:p>
      <w:pPr>
        <w:spacing w:after="0" w:line="117" w:lineRule="exact"/>
        <w:rPr>
          <w:rFonts w:ascii="Times New Roman" w:cs="Times New Roman" w:eastAsia="Times New Roman" w:hAnsi="Times New Roman"/>
          <w:sz w:val="16"/>
          <w:szCs w:val="16"/>
          <w:color w:val="auto"/>
        </w:rPr>
      </w:pPr>
    </w:p>
    <w:p>
      <w:pPr>
        <w:ind w:left="1580" w:right="140" w:hanging="391"/>
        <w:spacing w:after="0" w:line="284" w:lineRule="auto"/>
        <w:tabs>
          <w:tab w:leader="none" w:pos="1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mergers, splits, changes of corporate forms and dissolutions of insurance institutions and making decisions on the receivership and the appointment of receivers;</w:t>
      </w:r>
    </w:p>
    <w:p>
      <w:pPr>
        <w:spacing w:after="0" w:line="58"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examining and confirming the senior managers’ qualifications of various insurance institutions;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setting the basic qualification standards for insurance practitioners;</w:t>
      </w:r>
    </w:p>
    <w:p>
      <w:pPr>
        <w:spacing w:after="0" w:line="117" w:lineRule="exact"/>
        <w:rPr>
          <w:rFonts w:ascii="Times New Roman" w:cs="Times New Roman" w:eastAsia="Times New Roman" w:hAnsi="Times New Roman"/>
          <w:sz w:val="16"/>
          <w:szCs w:val="16"/>
          <w:color w:val="auto"/>
        </w:rPr>
      </w:pPr>
    </w:p>
    <w:p>
      <w:pPr>
        <w:ind w:left="1580" w:right="640" w:hanging="391"/>
        <w:spacing w:after="0" w:line="284" w:lineRule="auto"/>
        <w:tabs>
          <w:tab w:leader="none" w:pos="1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the terms and premium rates of insurance products related to public interests, statutory mandatory insurance and newly developed life and health insurance products;</w:t>
      </w:r>
    </w:p>
    <w:p>
      <w:pPr>
        <w:spacing w:after="0" w:line="58"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record-filing management on the insurance terms and premium rates of such insurance products;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conducting business supervision on public-policy-oriented insurance and statutory insurance;</w:t>
      </w:r>
    </w:p>
    <w:p>
      <w:pPr>
        <w:spacing w:after="0" w:line="1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10540"/>
          </w:cols>
          <w:pgMar w:left="320" w:top="447" w:right="10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1580" w:hanging="391"/>
        <w:spacing w:after="0"/>
        <w:tabs>
          <w:tab w:leader="none" w:pos="1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supervising their organizational forms and operations such as captive insurance and mutual insurance;</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investigating into and imposing penalties on illegal acts and misconducts of insurance institutions and practitioners;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supervising overseas insurance institutions established by domestic insurance and non-insurance institutions;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the standards for information systems of the insurance industry;</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insurance risk-assessment, risk-warning and risk-monitoring systems; and</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tracking, analyzing, monitoring and forecasting the operating conditions of the insurance market.</w:t>
      </w:r>
    </w:p>
    <w:p>
      <w:pPr>
        <w:spacing w:after="0" w:line="2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Regulatory and Legal Framework</w:t>
      </w:r>
    </w:p>
    <w:p>
      <w:pPr>
        <w:spacing w:after="0" w:line="109" w:lineRule="exact"/>
        <w:rPr>
          <w:sz w:val="20"/>
          <w:szCs w:val="20"/>
          <w:color w:val="auto"/>
        </w:rPr>
      </w:pPr>
    </w:p>
    <w:p>
      <w:pPr>
        <w:ind w:left="700" w:right="160" w:firstLine="393"/>
        <w:spacing w:after="0" w:line="267" w:lineRule="auto"/>
        <w:rPr>
          <w:sz w:val="20"/>
          <w:szCs w:val="20"/>
          <w:color w:val="auto"/>
        </w:rPr>
      </w:pPr>
      <w:r>
        <w:rPr>
          <w:rFonts w:ascii="Times New Roman" w:cs="Times New Roman" w:eastAsia="Times New Roman" w:hAnsi="Times New Roman"/>
          <w:sz w:val="16"/>
          <w:szCs w:val="16"/>
          <w:color w:val="auto"/>
        </w:rPr>
        <w:t>The legal framework for monitoring and administering insuring activities within the territory of the PRC is underpinned by laws and regulations including the Insurance Law of the PRC, or the PRC Insurance Law, and administrative regulations, departmental provisions and other regulatory documents stipulated in accordance with the PRC Insurance Law.</w:t>
      </w:r>
    </w:p>
    <w:p>
      <w:pPr>
        <w:spacing w:after="0" w:line="157"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The PRC Insurance Law, effective in 1995 and last amended in 2015, is the most important law in the regulatory and legal framework for the PRC insurance industry. The PRC Insurance Law provides that an insurance broker is an entity that, in the interest of the applicant, provides intermediary services between the applicant and the insurer for the conclusion of an insurance contract and receives a commission in accordance with relevant laws. An insurance agent shall be an institution or an individual which charge commissions from insurers and operate insurance business on behalf of insurers to the extent authorized by insurers. Insurance agencies include specialized insurance agencies which only operate the insurance agency business and concurrent-business insurance agency insurance agencies which concurrently operate the insurance agency business and other businesses. An insurance broker or insurance agency shall obtain an Insurance Brokerage License and an Insurance Agency License before it engages in insurance brokerage business or insurance agency business, respectively.</w:t>
      </w:r>
    </w:p>
    <w:p>
      <w:pPr>
        <w:spacing w:after="0" w:line="165" w:lineRule="exact"/>
        <w:rPr>
          <w:sz w:val="20"/>
          <w:szCs w:val="20"/>
          <w:color w:val="auto"/>
        </w:rPr>
      </w:pPr>
    </w:p>
    <w:p>
      <w:pPr>
        <w:ind w:left="700" w:right="20" w:firstLine="393"/>
        <w:spacing w:after="0" w:line="254" w:lineRule="auto"/>
        <w:rPr>
          <w:sz w:val="20"/>
          <w:szCs w:val="20"/>
          <w:color w:val="auto"/>
        </w:rPr>
      </w:pPr>
      <w:r>
        <w:rPr>
          <w:rFonts w:ascii="Times New Roman" w:cs="Times New Roman" w:eastAsia="Times New Roman" w:hAnsi="Times New Roman"/>
          <w:sz w:val="16"/>
          <w:szCs w:val="16"/>
          <w:color w:val="auto"/>
        </w:rPr>
        <w:t>Since the promulgation and implementation of the PRC Insurance Law in 1995, the insurance supervision and regulatory authority has promulgated a series of departmental rules and regulations and other regulatory documents pursuant to the PRC Insurance Law, covering almost all aspects of insurance operations. Regarding the establishment of insurance brokers, there are other important laws and regulations besides the PRC Insurance Law, including the Regulatory Provisions on Insurance Brokerages, or the Insurance Brokerages Provisions, which became effective on May 1, 2018. Insurance Brokerages Provisions specify provisions regarding market access, operation rules, exit from market, industry self-discipline, monitoring and inspection and legal obligations for insurance brokers. Regarding the insurance agency business, besides the PRC Insurance Law, insurance agents shall comply with the Regulatory Provisions on Insurance Agents, or the Insurance Agents Provisions, promulgated on November 12, 2020, and became effective on January 1, 2021, which specify provisions regarding market access, office qualifications, practitioners, operation rules, exit from market, market exit, and legal liabilities for insurance agents. Regarding the insurance adjustment assessment business, the Regulatory Provisions on Insurance Adjusters, or the Insurance Adjusters Provisions, which was promulgated on February 1, 2018, and became effective on May 1, 2018, provides provisions on operating conditions, operation rules, market exit, industrial self-regulation and legal liabilities for insurance adjusters.</w:t>
      </w:r>
    </w:p>
    <w:p>
      <w:pPr>
        <w:spacing w:after="0" w:line="172"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The Administrative Measures for the Licenses of Banking and Insurance Institutions, which was issued by the CBIRC on April 28, 2021, and took effect from July 1, 2021, stipulate that banking and insurance institutions, including insurance brokerage companies, concurrent-business insurance agencies and other insurance intermediaries, shall, when conducting financial business, legally obtain a business license issued by the administration for market regulation.</w:t>
      </w:r>
    </w:p>
    <w:p>
      <w:pPr>
        <w:spacing w:after="0" w:line="161" w:lineRule="exact"/>
        <w:rPr>
          <w:sz w:val="20"/>
          <w:szCs w:val="20"/>
          <w:color w:val="auto"/>
        </w:rPr>
      </w:pPr>
    </w:p>
    <w:p>
      <w:pPr>
        <w:ind w:left="700" w:right="20" w:firstLine="393"/>
        <w:spacing w:after="0" w:line="267" w:lineRule="auto"/>
        <w:rPr>
          <w:sz w:val="20"/>
          <w:szCs w:val="20"/>
          <w:color w:val="auto"/>
        </w:rPr>
      </w:pPr>
      <w:r>
        <w:rPr>
          <w:rFonts w:ascii="Times New Roman" w:cs="Times New Roman" w:eastAsia="Times New Roman" w:hAnsi="Times New Roman"/>
          <w:sz w:val="16"/>
          <w:szCs w:val="16"/>
          <w:color w:val="auto"/>
        </w:rPr>
        <w:t>On October 28, 2021, the CBIRC promulgated the Measures for the Implementation of Administrative License and Recordation for Insurance Intermediaries which became effective on February 1, 2022. The CBIRC and its local offices shall, in accordance with the provisions of these Measures, implement administrative license and recordation of insurance intermediary business and senior executives.</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91</w:t>
      </w:r>
    </w:p>
    <w:p>
      <w:pPr>
        <w:sectPr>
          <w:pgSz w:w="11900" w:h="16838" w:orient="portrait"/>
          <w:cols w:equalWidth="0" w:num="1">
            <w:col w:w="10520"/>
          </w:cols>
          <w:pgMar w:left="320" w:top="447" w:right="10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Establishment and Revocation</w:t>
      </w:r>
    </w:p>
    <w:p>
      <w:pPr>
        <w:spacing w:after="0" w:line="1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Establishment of Insurance Brokers and Acquisition of Qualification for Operating Insurance Brokerage Business</w:t>
      </w:r>
    </w:p>
    <w:p>
      <w:pPr>
        <w:spacing w:after="0" w:line="107" w:lineRule="exact"/>
        <w:rPr>
          <w:sz w:val="20"/>
          <w:szCs w:val="20"/>
          <w:color w:val="auto"/>
        </w:rPr>
      </w:pPr>
    </w:p>
    <w:p>
      <w:pPr>
        <w:ind w:left="700" w:right="40" w:firstLine="393"/>
        <w:spacing w:after="0" w:line="259" w:lineRule="auto"/>
        <w:rPr>
          <w:sz w:val="20"/>
          <w:szCs w:val="20"/>
          <w:color w:val="auto"/>
        </w:rPr>
      </w:pPr>
      <w:r>
        <w:rPr>
          <w:rFonts w:ascii="Times New Roman" w:cs="Times New Roman" w:eastAsia="Times New Roman" w:hAnsi="Times New Roman"/>
          <w:sz w:val="16"/>
          <w:szCs w:val="16"/>
          <w:color w:val="auto"/>
        </w:rPr>
        <w:t>Pursuant to the PRC Insurance Law and the Insurance Brokerages Provisions, to operate insurance brokerage business within the territory of the PRC, an insurance brokerage company shall satisfy the requirements stipulated by the CIRC (the predecessor of the CBIRC) and obtain a license to operate insurance brokerage business. The minimum registered capital of an insurance brokerage company that conducts business in regions not limited to the provincial level is RMB50 million. The minimum registered capital of an insurance brokerage company that conducts business within the provincial level is RMB10 million. The registered capital of an insurance brokerage company must be fully paid in cash.</w:t>
      </w:r>
    </w:p>
    <w:p>
      <w:pPr>
        <w:spacing w:after="0" w:line="164" w:lineRule="exact"/>
        <w:rPr>
          <w:sz w:val="20"/>
          <w:szCs w:val="20"/>
          <w:color w:val="auto"/>
        </w:rPr>
      </w:pPr>
    </w:p>
    <w:p>
      <w:pPr>
        <w:ind w:left="700" w:right="260" w:firstLine="393"/>
        <w:spacing w:after="0" w:line="254" w:lineRule="auto"/>
        <w:rPr>
          <w:sz w:val="20"/>
          <w:szCs w:val="20"/>
          <w:color w:val="auto"/>
        </w:rPr>
      </w:pPr>
      <w:r>
        <w:rPr>
          <w:rFonts w:ascii="Times New Roman" w:cs="Times New Roman" w:eastAsia="Times New Roman" w:hAnsi="Times New Roman"/>
          <w:sz w:val="16"/>
          <w:szCs w:val="16"/>
          <w:color w:val="auto"/>
        </w:rPr>
        <w:t>An insurance broker applying for operating insurance brokerage business shall, after obtaining the business license, submit without delay the application materials as required by the CBIRC and disclose the relevant information. The CBIRC and its local branches shall grant administrative licenses in accordance with their statutory responsibilities and procedures. If the CBIRC and its local branches permit an applicant to operate the insurance brokerage business in accordance with the law, they shall issue licenses to the applicant. An applicant may not carry out the insurance brokerage business until it obtains the license, and it shall register the relevant information in a regulatory information system as prescribed by the CBIRC in time. In addition, an insurance broker shall have its own business premise and set up a designated account book to record the income and expenditure of the insurance brokerage business. An insurance broker shall open an independent designated account for client funds. The following funds shall only be deposited in the designated account for client funds: (i) insurance premiums paid by policyholders to an insurance company; and</w:t>
      </w:r>
    </w:p>
    <w:p>
      <w:pPr>
        <w:spacing w:after="0" w:line="1" w:lineRule="exact"/>
        <w:rPr>
          <w:sz w:val="20"/>
          <w:szCs w:val="20"/>
          <w:color w:val="auto"/>
        </w:rPr>
      </w:pPr>
    </w:p>
    <w:p>
      <w:pPr>
        <w:ind w:left="700" w:right="80" w:firstLine="7"/>
        <w:spacing w:after="0" w:line="263" w:lineRule="auto"/>
        <w:tabs>
          <w:tab w:leader="none" w:pos="93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surrender value and pay-outs collected on behalf of policyholders, insured parties and beneficiaries. An insurance broker shall open an independent account for commissions it collects.</w:t>
      </w:r>
    </w:p>
    <w:p>
      <w:pPr>
        <w:spacing w:after="0" w:line="159" w:lineRule="exact"/>
        <w:rPr>
          <w:sz w:val="20"/>
          <w:szCs w:val="20"/>
          <w:color w:val="auto"/>
        </w:rPr>
      </w:pPr>
    </w:p>
    <w:p>
      <w:pPr>
        <w:ind w:left="700" w:right="40" w:firstLine="393"/>
        <w:spacing w:after="0" w:line="255" w:lineRule="auto"/>
        <w:rPr>
          <w:sz w:val="20"/>
          <w:szCs w:val="20"/>
          <w:color w:val="auto"/>
        </w:rPr>
      </w:pPr>
      <w:r>
        <w:rPr>
          <w:rFonts w:ascii="Times New Roman" w:cs="Times New Roman" w:eastAsia="Times New Roman" w:hAnsi="Times New Roman"/>
          <w:sz w:val="16"/>
          <w:szCs w:val="16"/>
          <w:color w:val="auto"/>
        </w:rPr>
        <w:t>To operate insurance brokerage business, an insurance brokerage company shall satisfy the following conditions: (i) its shareholders meet the requirements stipulated in the Insurance Brokerages Provisions, and make capital contribution with their self-owned, true and lawful funds instead of bank loans or non-self-owned funds in various forms; (ii) its registered capital meets the requirements of Article 10 of the Insurance Brokerages Provisions and the registered capital shall be entrusted in accordance with the relevant provisions of the CIRC; (iii) its business scope recorded in the business license is in compliance with the relevant provisions of the CIRC; (iv) its articles of association are in conformity with the relevant provisions;</w:t>
      </w:r>
    </w:p>
    <w:p>
      <w:pPr>
        <w:spacing w:after="0" w:line="3" w:lineRule="exact"/>
        <w:rPr>
          <w:sz w:val="20"/>
          <w:szCs w:val="20"/>
          <w:color w:val="auto"/>
        </w:rPr>
      </w:pPr>
    </w:p>
    <w:p>
      <w:pPr>
        <w:ind w:left="700" w:right="40" w:firstLine="7"/>
        <w:spacing w:after="0" w:line="254" w:lineRule="auto"/>
        <w:tabs>
          <w:tab w:leader="none" w:pos="92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company name is in conformity with the Insurance Brokerages Provisions; (vi) its senior managers meet the qualification requirements stipulated in the Insurance Brokerages Provisions; (vii) it has established a governance structure and internal control system as stipulated by the CIRC, and a scientifically and reasonably feasible business mode; (viii) it has a fixed premise in line with its business scale; (ix) it has a business and financial information management system as stipulated by the CIRC; and (x) other conditions specified by laws and administrative regulations or prescribed the CIRC.</w:t>
      </w:r>
    </w:p>
    <w:p>
      <w:pPr>
        <w:spacing w:after="0" w:line="167" w:lineRule="exact"/>
        <w:rPr>
          <w:sz w:val="20"/>
          <w:szCs w:val="20"/>
          <w:color w:val="auto"/>
        </w:rPr>
      </w:pPr>
    </w:p>
    <w:p>
      <w:pPr>
        <w:jc w:val="both"/>
        <w:ind w:left="700" w:right="140" w:firstLine="393"/>
        <w:spacing w:after="0" w:line="262" w:lineRule="auto"/>
        <w:rPr>
          <w:sz w:val="20"/>
          <w:szCs w:val="20"/>
          <w:color w:val="auto"/>
        </w:rPr>
      </w:pPr>
      <w:r>
        <w:rPr>
          <w:rFonts w:ascii="Times New Roman" w:cs="Times New Roman" w:eastAsia="Times New Roman" w:hAnsi="Times New Roman"/>
          <w:sz w:val="16"/>
          <w:szCs w:val="16"/>
          <w:color w:val="auto"/>
        </w:rPr>
        <w:t>According to Measures for the Implementation of Administrative License and Recordation for Insurance Intermediaries, the CBIRC or its local office shall issue a license to an applicant if the CBIRC or its local office makes a decision to grant approval. If a decision of disapproval is made, the reasons shall be explained. A company that survives shall modify its registration of the name, business scope, bylaws and other items according to the law, to ensure that there is no “insurance brokerage” in its name.</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Establishment of Insurance Agents and Acquisition of Qualification for Operating Insurance Agency Business</w:t>
      </w:r>
    </w:p>
    <w:p>
      <w:pPr>
        <w:spacing w:after="0" w:line="107"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Pursuant to the PRC Insurance Law and the Insurance Agents Provisions, to operate insurance agency business within the territory of the PRC, a specialized insurance agency company shall satisfy the requirements stipulated by the CBIRC and obtain an Insurance Agency License. The minimum registered capital of a specialized insurance agency company that conducts business in regions not limited to the provincial level is RMB50 million. The minimum registered capital of a specialized insurance agency that conducts business within the provincial level is RMB20 million. The registered capital of full-time insurance agency must be paid in cash.</w:t>
      </w:r>
    </w:p>
    <w:p>
      <w:pPr>
        <w:spacing w:after="0" w:line="164" w:lineRule="exact"/>
        <w:rPr>
          <w:sz w:val="20"/>
          <w:szCs w:val="20"/>
          <w:color w:val="auto"/>
        </w:rPr>
      </w:pPr>
    </w:p>
    <w:p>
      <w:pPr>
        <w:ind w:left="700" w:right="80" w:firstLine="393"/>
        <w:spacing w:after="0" w:line="256" w:lineRule="auto"/>
        <w:rPr>
          <w:sz w:val="20"/>
          <w:szCs w:val="20"/>
          <w:color w:val="auto"/>
        </w:rPr>
      </w:pPr>
      <w:r>
        <w:rPr>
          <w:rFonts w:ascii="Times New Roman" w:cs="Times New Roman" w:eastAsia="Times New Roman" w:hAnsi="Times New Roman"/>
          <w:sz w:val="16"/>
          <w:szCs w:val="16"/>
          <w:color w:val="auto"/>
        </w:rPr>
        <w:t>A specialized insurance agency company applying for operating insurance agency business shall, after obtaining the business license, submit without delay the application materials as required by the CBIRC and disclose the relevant information. The CBIRC and its local branches shall grant the Insurance Agency License in accordance with their statutory responsibilities and procedures. If the CBIRC and its local branches permit such applicant to operate the insurance agency business in accordance with the law, they shall issue licenses to the applicant. An applicant may not carry out the insurance agency business until it obtains the Insurance Agency License, and it shall register the relevant information in a regulatory information system as prescribed by the CBIRC in time. In addition, an insurance agency company shall have its own business premise and set up a designated account book to record the income and expenditure of the insurance agency business. An insurance agency company shall open an independent designated account for client funds.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92</w:t>
      </w:r>
    </w:p>
    <w:p>
      <w:pPr>
        <w:sectPr>
          <w:pgSz w:w="11900" w:h="16838" w:orient="portrait"/>
          <w:cols w:equalWidth="0" w:num="1">
            <w:col w:w="10500"/>
          </w:cols>
          <w:pgMar w:left="320" w:top="447" w:right="10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To operate insurance full-time agency business, a specialized insurance agency company shall satisfy the following conditions: (i) its shareholders meet the requirements stipulated in the Insurance Agents Provisions, and make capital contribution with their self-owned, true and lawful funds instead of bank loans or non-self-owned funds in various forms; (ii) its registered capital meets the requirements of Article 10 of the Insurance Agents Provisions and the registered capital shall be entrusted in accordance with the relevant provisions of the CBIRC; (iii) its business scope recorded in the business license is in compliance with the relevant provisions of the CBIRC; (iv) its articles of association are in conformity with the relevant provisions; (v) its company name is in conformity with the Insurance Agents Provisions; (vi) its senior managers meet the qualification requirements stipulated in the Insurance Agents Provisions; (vii) it has established a governance structure and internal control system as stipulated by the CBIRC, and a scientifically and reasonably feasible business mode; (viii) it has a fixed premise in line with its business scale; (ix) it has a business and financial information management system as stipulated by the CBIRC; and (x) other conditions specified by laws and administrative regulations or prescribed the CBIRC.</w:t>
      </w:r>
    </w:p>
    <w:p>
      <w:pPr>
        <w:spacing w:after="0" w:line="166" w:lineRule="exact"/>
        <w:rPr>
          <w:sz w:val="20"/>
          <w:szCs w:val="20"/>
          <w:color w:val="auto"/>
        </w:rPr>
      </w:pPr>
    </w:p>
    <w:p>
      <w:pPr>
        <w:jc w:val="both"/>
        <w:ind w:left="700" w:right="140" w:firstLine="393"/>
        <w:spacing w:after="0" w:line="262" w:lineRule="auto"/>
        <w:rPr>
          <w:sz w:val="20"/>
          <w:szCs w:val="20"/>
          <w:color w:val="auto"/>
        </w:rPr>
      </w:pPr>
      <w:r>
        <w:rPr>
          <w:rFonts w:ascii="Times New Roman" w:cs="Times New Roman" w:eastAsia="Times New Roman" w:hAnsi="Times New Roman"/>
          <w:sz w:val="16"/>
          <w:szCs w:val="16"/>
          <w:color w:val="auto"/>
        </w:rPr>
        <w:t>According to Measures for the Implementation of Administrative License and Recordation for Insurance Intermediaries, the CBIRC or its local office shall issue a license to an applicant if the CBIRC or its local office makes a decision to grant approval. If a decision of disapproval is made, the reasons shall be explained. A company that survives shall modify its registration of the name, business scope, bylaws and other items according to the law, to ensure that there is no “insurance agency” in its name.</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Establishment of Insurance Adjusters and Acquisition of Qualification for Operating Insurance Adjustment Assessment Business</w:t>
      </w:r>
    </w:p>
    <w:p>
      <w:pPr>
        <w:spacing w:after="0" w:line="107" w:lineRule="exact"/>
        <w:rPr>
          <w:sz w:val="20"/>
          <w:szCs w:val="20"/>
          <w:color w:val="auto"/>
        </w:rPr>
      </w:pPr>
    </w:p>
    <w:p>
      <w:pPr>
        <w:ind w:left="700" w:right="240" w:firstLine="393"/>
        <w:spacing w:after="0" w:line="267" w:lineRule="auto"/>
        <w:rPr>
          <w:sz w:val="20"/>
          <w:szCs w:val="20"/>
          <w:color w:val="auto"/>
        </w:rPr>
      </w:pPr>
      <w:r>
        <w:rPr>
          <w:rFonts w:ascii="Times New Roman" w:cs="Times New Roman" w:eastAsia="Times New Roman" w:hAnsi="Times New Roman"/>
          <w:sz w:val="16"/>
          <w:szCs w:val="16"/>
          <w:color w:val="auto"/>
        </w:rPr>
        <w:t>Pursuant to the Insurance Adjusters Provisions, to operate insurance adjustment assessment business within the territory of the PRC, insurance adjusters shall satisfy the requirements as prescribed in the Asset Appraisal Law, meet the conditions as prescribed by the CBIRC, and undergo the business recordation formalities with the CBIRC and its local offices.</w:t>
      </w:r>
    </w:p>
    <w:p>
      <w:pPr>
        <w:spacing w:after="0" w:line="157" w:lineRule="exact"/>
        <w:rPr>
          <w:sz w:val="20"/>
          <w:szCs w:val="20"/>
          <w:color w:val="auto"/>
        </w:rPr>
      </w:pPr>
    </w:p>
    <w:p>
      <w:pPr>
        <w:ind w:left="700" w:right="140" w:firstLine="393"/>
        <w:spacing w:after="0" w:line="255" w:lineRule="auto"/>
        <w:rPr>
          <w:sz w:val="20"/>
          <w:szCs w:val="20"/>
          <w:color w:val="auto"/>
        </w:rPr>
      </w:pPr>
      <w:r>
        <w:rPr>
          <w:rFonts w:ascii="Times New Roman" w:cs="Times New Roman" w:eastAsia="Times New Roman" w:hAnsi="Times New Roman"/>
          <w:sz w:val="16"/>
          <w:szCs w:val="16"/>
          <w:color w:val="auto"/>
        </w:rPr>
        <w:t>An insurance adjustment assessment institution to engage in insurance adjustment assessment business, shall, within 30 days from the date of obtaining the business license, undergo the recordation formalities with the CBIRC and its local office through the regulatory information system prescribed by the CBIRC and concurrently submit paper materials as required. To operate insurance adjustment assessment business, an insurance adjustment assessment company shall satisfy the following conditions: (i) its shareholders meet the requirements stipulated in the Insurance Adjusters Provisions and make capital contribution with their self-owned, true and lawful funds instead of bank loans or non-self-owned funds in various forms;</w:t>
      </w:r>
    </w:p>
    <w:p>
      <w:pPr>
        <w:spacing w:after="0" w:line="3" w:lineRule="exact"/>
        <w:rPr>
          <w:sz w:val="20"/>
          <w:szCs w:val="20"/>
          <w:color w:val="auto"/>
        </w:rPr>
      </w:pPr>
    </w:p>
    <w:p>
      <w:pPr>
        <w:ind w:left="700" w:firstLine="7"/>
        <w:spacing w:after="0" w:line="252" w:lineRule="auto"/>
        <w:tabs>
          <w:tab w:leader="none" w:pos="93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the business development plan, it has the working capital required for routine business operation and assumption of risks. A national institution shall have working capital of RMB2 million and a regional institution shall have working capital of RMB1 million; (iii) the custody of its working capital complies with the relevant provisions issued by the CBIRC; (iv) the business scope recorded in the business license does not exceed the scope as prescribed in Article 43 of the Insurance Adjusters Provisions; (v) its articles of association or partnership agreements comply with the relevant provisions. (vi) its company name is in conformity with the Insurance Adjusters Provisions; (vii) its board chairman, executive director and senior managers meet the qualification requirements stipulated in the Insurance Adjusters Provisions; (viii) it has established a governance structure and internal control system as stipulated by the CBIRC, and a scientifically and reasonably feasible business mode; (ix) it has a fixed premise in line with its business scale; (x) it has a business and financial information management system as stipulated by the CBIRC; and (xi) other conditions specified by laws and administrative regulations or prescribed the CBIRC.</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93</w:t>
      </w:r>
    </w:p>
    <w:p>
      <w:pPr>
        <w:sectPr>
          <w:pgSz w:w="11900" w:h="16838" w:orient="portrait"/>
          <w:cols w:equalWidth="0" w:num="1">
            <w:col w:w="10500"/>
          </w:cols>
          <w:pgMar w:left="320" w:top="447" w:right="10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Revocation of Insurance Brokerage Companies</w:t>
      </w:r>
    </w:p>
    <w:p>
      <w:pPr>
        <w:spacing w:after="0" w:line="107"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Pursuant to the Insurance Brokerages Provisions, an insurance brokerage company shall exit the insurance brokerage market according to the laws, administrative regulations and other relevant provisions. Where any insurance brokerage company falls under any of the following circumstances, the local branches of the CBIRC shall cancel its license according to the law and announce the cancellation: (i) its license fails to be extended upon expiration; (ii) its license is annulled, revoked or canceled in accordance with the law; (iii) it is terminated in accordance with the law due to dissolution, declaration of bankruptcy or other reasons; or (iv) other circumstances stipulated by laws and administrative regulations. An insurance brokerage company, the license of which has been canceled, shall return the original license in time; if the license cannot be returned, the local branches of the CBIRC shall state as such in the announcement. An insurance brokerage company, the license of which has been canceled, shall terminate its insurance brokerage business, and, within fifteen days from the date of license cancellation, make a written report to the industrial and commercial administrative department where its industrial and commercial registration was made. Where the company continues to exist, it shall not engage in insurance brokerage business and shall go through the formalities of business registration for changes in matters such as name, business scope and articles of association in accordance with the law, and ensure that its name does not include the term “insurance brokerage.”</w:t>
      </w:r>
    </w:p>
    <w:p>
      <w:pPr>
        <w:spacing w:after="0" w:line="172" w:lineRule="exact"/>
        <w:rPr>
          <w:sz w:val="20"/>
          <w:szCs w:val="20"/>
          <w:color w:val="auto"/>
        </w:rPr>
      </w:pPr>
    </w:p>
    <w:p>
      <w:pPr>
        <w:jc w:val="both"/>
        <w:ind w:left="700" w:right="500" w:firstLine="393"/>
        <w:spacing w:after="0" w:line="267" w:lineRule="auto"/>
        <w:rPr>
          <w:sz w:val="20"/>
          <w:szCs w:val="20"/>
          <w:color w:val="auto"/>
        </w:rPr>
      </w:pPr>
      <w:r>
        <w:rPr>
          <w:rFonts w:ascii="Times New Roman" w:cs="Times New Roman" w:eastAsia="Times New Roman" w:hAnsi="Times New Roman"/>
          <w:sz w:val="16"/>
          <w:szCs w:val="16"/>
          <w:color w:val="auto"/>
        </w:rPr>
        <w:t>If any branch of an insurance brokerage company is in a disorderly operation and management and is engaged in major unlawful or illegal activities, the insurance brokerage company shall, in accordance with the regulatory requirements of the CBIRC and its local branches, take such measures against the branch as rectification within a specified period, business suspension and cancellation.</w:t>
      </w:r>
    </w:p>
    <w:p>
      <w:pPr>
        <w:spacing w:after="0" w:line="157" w:lineRule="exact"/>
        <w:rPr>
          <w:sz w:val="20"/>
          <w:szCs w:val="20"/>
          <w:color w:val="auto"/>
        </w:rPr>
      </w:pPr>
    </w:p>
    <w:p>
      <w:pPr>
        <w:ind w:left="700" w:right="80" w:firstLine="393"/>
        <w:spacing w:after="0" w:line="267" w:lineRule="auto"/>
        <w:rPr>
          <w:sz w:val="20"/>
          <w:szCs w:val="20"/>
          <w:color w:val="auto"/>
        </w:rPr>
      </w:pPr>
      <w:r>
        <w:rPr>
          <w:rFonts w:ascii="Times New Roman" w:cs="Times New Roman" w:eastAsia="Times New Roman" w:hAnsi="Times New Roman"/>
          <w:sz w:val="16"/>
          <w:szCs w:val="16"/>
          <w:color w:val="auto"/>
        </w:rPr>
        <w:t>Where a licensee obtains an Insurance Brokerage License or other administrative licenses through improper means such as deception or bribery, such license shall be revoked by the CBIRC and its local branches, and the licensee shall be given administrative punishments according to the law; the applicant may not apply for the administrative license again within three years.</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Revocation of Insurance Agency Companies</w:t>
      </w:r>
    </w:p>
    <w:p>
      <w:pPr>
        <w:spacing w:after="0" w:line="107" w:lineRule="exact"/>
        <w:rPr>
          <w:sz w:val="20"/>
          <w:szCs w:val="20"/>
          <w:color w:val="auto"/>
        </w:rPr>
      </w:pPr>
    </w:p>
    <w:p>
      <w:pPr>
        <w:ind w:left="700" w:right="40" w:firstLine="393"/>
        <w:spacing w:after="0" w:line="254" w:lineRule="auto"/>
        <w:rPr>
          <w:sz w:val="20"/>
          <w:szCs w:val="20"/>
          <w:color w:val="auto"/>
        </w:rPr>
      </w:pPr>
      <w:r>
        <w:rPr>
          <w:rFonts w:ascii="Times New Roman" w:cs="Times New Roman" w:eastAsia="Times New Roman" w:hAnsi="Times New Roman"/>
          <w:sz w:val="16"/>
          <w:szCs w:val="16"/>
          <w:color w:val="auto"/>
        </w:rPr>
        <w:t>Pursuant to the Insurance Agents Provisions, an insurance agency company shall exit the insurance agency market according to the laws, administrative regulations and other relevant regulatory rules. Where an insurance agency company falls under any of the following circumstances, the local branches of the CBIRC shall revoke its license according to the law and announce such decision: (i) its license is annulled, revoked or canceled in accordance with the law; (ii) it is terminated in accordance with the law due to dissolution, declaration of bankruptcy or other reasons; or (iii) other circumstances stipulated by laws and administrative regulations. An insurance agency company, the license of which has been canceled, shall return the original license in time; if the license cannot be returned, the local branches of the CBIRC shall state as such in the announcement. An insurance agency company, the license of which has been canceled, shall terminate its insurance agency business. Where the specialized insurance agency company continues to exist, it shall not engage in insurance agency business and shall go through the formalities of business registration for changes in matters such as name, business scope and articles of association in accordance with the law, and ensure that its name does not include the term “insurance agency.” Where the permit of a concurrent-business insurance agency is revoked by the insurance regulatory authorities pursuant to the law, it shall not reapply for permit within three years; where the permit is canceled pursuant to the law due to any other reason, it shall not reapply for permit within one year. Where a licensee obtains an Insurance Agency License or other administrative licenses through improper means such as deception or bribery, such license shall be revoked by the CBIRC and its local branches, and the licensee shall be given administrative punishments according to the law; the applicant may not apply for the administrative license again within three years.</w:t>
      </w: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Revocation of Insurance Adjustment Assessment Companies</w:t>
      </w:r>
    </w:p>
    <w:p>
      <w:pPr>
        <w:spacing w:after="0" w:line="107" w:lineRule="exact"/>
        <w:rPr>
          <w:sz w:val="20"/>
          <w:szCs w:val="20"/>
          <w:color w:val="auto"/>
        </w:rPr>
      </w:pPr>
    </w:p>
    <w:p>
      <w:pPr>
        <w:ind w:left="700" w:right="60" w:firstLine="393"/>
        <w:spacing w:after="0" w:line="259" w:lineRule="auto"/>
        <w:rPr>
          <w:sz w:val="20"/>
          <w:szCs w:val="20"/>
          <w:color w:val="auto"/>
        </w:rPr>
      </w:pPr>
      <w:r>
        <w:rPr>
          <w:rFonts w:ascii="Times New Roman" w:cs="Times New Roman" w:eastAsia="Times New Roman" w:hAnsi="Times New Roman"/>
          <w:sz w:val="16"/>
          <w:szCs w:val="16"/>
          <w:color w:val="auto"/>
        </w:rPr>
        <w:t>Pursuant to the Insurance Adjusters Provisions, under any of the following circumstances, an insurance adjuster shall, within five days, cancel the practicing registration of an insurance adjuster: (i) an insurance adjuster is subject to administrative punishment of suspension of practice; (ii) an insurance adjuster terminates practice for other reasons; (iii) an insurance adjuster stops engaging in the insurance adjustment assessment business for close-down, dissolution or other reasons; (iv) other circumstances as prescribed by laws, administrative regulations, and the provisions issued by the CBIRC.</w:t>
      </w:r>
    </w:p>
    <w:p>
      <w:pPr>
        <w:spacing w:after="0" w:line="164" w:lineRule="exact"/>
        <w:rPr>
          <w:sz w:val="20"/>
          <w:szCs w:val="20"/>
          <w:color w:val="auto"/>
        </w:rPr>
      </w:pPr>
    </w:p>
    <w:p>
      <w:pPr>
        <w:jc w:val="both"/>
        <w:ind w:left="700" w:firstLine="393"/>
        <w:spacing w:after="0" w:line="267" w:lineRule="auto"/>
        <w:rPr>
          <w:sz w:val="20"/>
          <w:szCs w:val="20"/>
          <w:color w:val="auto"/>
        </w:rPr>
      </w:pPr>
      <w:r>
        <w:rPr>
          <w:rFonts w:ascii="Times New Roman" w:cs="Times New Roman" w:eastAsia="Times New Roman" w:hAnsi="Times New Roman"/>
          <w:sz w:val="16"/>
          <w:szCs w:val="16"/>
          <w:color w:val="auto"/>
        </w:rPr>
        <w:t>Where a branch of an insurance adjustment assessment institution has chaos in business operation and management and has any major violation of laws and regulations, the insurance adjuster shall, in accordance with the regulatory requirements of the CBIRC and its local office, take measures such as making rectification within a prescribed time limit, suspending business and cancellation against the branch.</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94</w:t>
      </w:r>
    </w:p>
    <w:p>
      <w:pPr>
        <w:sectPr>
          <w:pgSz w:w="11900" w:h="16838" w:orient="portrait"/>
          <w:cols w:equalWidth="0" w:num="1">
            <w:col w:w="10520"/>
          </w:cols>
          <w:pgMar w:left="320" w:top="447" w:right="10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Internal Governance</w:t>
      </w:r>
    </w:p>
    <w:p>
      <w:pPr>
        <w:spacing w:after="0" w:line="1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Corporate Governance in Insurance Intermediary Companies</w:t>
      </w:r>
    </w:p>
    <w:p>
      <w:pPr>
        <w:spacing w:after="0" w:line="107" w:lineRule="exact"/>
        <w:rPr>
          <w:sz w:val="20"/>
          <w:szCs w:val="20"/>
          <w:color w:val="auto"/>
        </w:rPr>
      </w:pPr>
    </w:p>
    <w:p>
      <w:pPr>
        <w:ind w:left="700" w:right="40" w:firstLine="393"/>
        <w:spacing w:after="0" w:line="259" w:lineRule="auto"/>
        <w:rPr>
          <w:sz w:val="20"/>
          <w:szCs w:val="20"/>
          <w:color w:val="auto"/>
        </w:rPr>
      </w:pPr>
      <w:r>
        <w:rPr>
          <w:rFonts w:ascii="Times New Roman" w:cs="Times New Roman" w:eastAsia="Times New Roman" w:hAnsi="Times New Roman"/>
          <w:sz w:val="16"/>
          <w:szCs w:val="16"/>
          <w:color w:val="auto"/>
        </w:rPr>
        <w:t>Pursuant to the Insurance Brokerages Provisions, the Insurance Agents Provisions, the Insurance Adjusters Provisions, an insurance broker shall, an insurance agency or an insurance adjuster, in accordance with the laws, administrative regulations and the relevant CBIRC provisions, establish sound corporate governance structure and systems under the principles of clear responsibilities, strengthened checks and balances and risk management. Moreover, it shall make clear the management and control responsibilities, build a compliance system, focus on self-discipline and strengthen internal accountability to ensure sound operation.</w:t>
      </w:r>
    </w:p>
    <w:p>
      <w:pPr>
        <w:spacing w:after="0" w:line="2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Informatization</w:t>
      </w:r>
    </w:p>
    <w:p>
      <w:pPr>
        <w:spacing w:after="0" w:line="109" w:lineRule="exact"/>
        <w:rPr>
          <w:sz w:val="20"/>
          <w:szCs w:val="20"/>
          <w:color w:val="auto"/>
        </w:rPr>
      </w:pPr>
    </w:p>
    <w:p>
      <w:pPr>
        <w:ind w:left="700" w:firstLine="393"/>
        <w:spacing w:after="0" w:line="267" w:lineRule="auto"/>
        <w:rPr>
          <w:sz w:val="20"/>
          <w:szCs w:val="20"/>
          <w:color w:val="auto"/>
        </w:rPr>
      </w:pPr>
      <w:r>
        <w:rPr>
          <w:rFonts w:ascii="Times New Roman" w:cs="Times New Roman" w:eastAsia="Times New Roman" w:hAnsi="Times New Roman"/>
          <w:sz w:val="16"/>
          <w:szCs w:val="16"/>
          <w:color w:val="auto"/>
        </w:rPr>
        <w:t>The CBIRC released the Measures for the Regulation of Informatization of Insurance Intermediaries on January 5, 2021, which came into effect on February 1, 2021, to regulate informatization work by strengthening the regulation of insurance intermediaries, improving operating and management level of insurance intermediaries, and promoting the high-quality development of the insurance intermediary industry.</w:t>
      </w:r>
    </w:p>
    <w:p>
      <w:pPr>
        <w:spacing w:after="0" w:line="157" w:lineRule="exact"/>
        <w:rPr>
          <w:sz w:val="20"/>
          <w:szCs w:val="20"/>
          <w:color w:val="auto"/>
        </w:rPr>
      </w:pPr>
    </w:p>
    <w:p>
      <w:pPr>
        <w:ind w:left="700" w:right="60" w:firstLine="393"/>
        <w:spacing w:after="0" w:line="254" w:lineRule="auto"/>
        <w:rPr>
          <w:sz w:val="20"/>
          <w:szCs w:val="20"/>
          <w:color w:val="auto"/>
        </w:rPr>
      </w:pPr>
      <w:r>
        <w:rPr>
          <w:rFonts w:ascii="Times New Roman" w:cs="Times New Roman" w:eastAsia="Times New Roman" w:hAnsi="Times New Roman"/>
          <w:sz w:val="16"/>
          <w:szCs w:val="16"/>
          <w:color w:val="auto"/>
        </w:rPr>
        <w:t>Insurance intermediary institutions shall, in accordance with regulatory requirements, report regulatory matters and submit regulatory data to the CBIRC and its local counterparts in a timely manner through the relevant information system of insurance intermediary supervision. In addition, Insurance intermediaries shall, including without limitation (i) reasonably determine the security level of information systems in accordance with the relevant national cyber security level protection regulations, perform protections in accordance with the national cyber security level protection related standards, and obtain the corresponding national cyber security level protection certification; (ii) take protective measures for important data to ensure the safety of data in the process of collection, storage, transmission, use, provision, backup, restoration, and destruction, use data legally while strictly preventing data leakage, tampering and damage, and ensure data integrity, confidentiality and availability; (iii) follow the principles of lawfulness, fairness and necessity, comply with relevant national laws and administrative regulations, and comply with national standards related to personal information security when collecting, processing and applying data containing personal information; and (iv) carry out informatization training, information security training and confidentiality education regularly, sign information security and confidentiality agreements with employees, and urge employees to perform information security and confidentiality duties corresponding to their jobs.</w:t>
      </w:r>
    </w:p>
    <w:p>
      <w:pPr>
        <w:spacing w:after="0" w:line="2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Deposit and Professional Liability Insurance</w:t>
      </w:r>
    </w:p>
    <w:p>
      <w:pPr>
        <w:spacing w:after="0" w:line="107" w:lineRule="exact"/>
        <w:rPr>
          <w:sz w:val="20"/>
          <w:szCs w:val="20"/>
          <w:color w:val="auto"/>
        </w:rPr>
      </w:pPr>
    </w:p>
    <w:p>
      <w:pPr>
        <w:jc w:val="both"/>
        <w:ind w:left="700" w:right="160" w:firstLine="393"/>
        <w:spacing w:after="0" w:line="267" w:lineRule="auto"/>
        <w:rPr>
          <w:sz w:val="20"/>
          <w:szCs w:val="20"/>
          <w:color w:val="auto"/>
        </w:rPr>
      </w:pPr>
      <w:r>
        <w:rPr>
          <w:rFonts w:ascii="Times New Roman" w:cs="Times New Roman" w:eastAsia="Times New Roman" w:hAnsi="Times New Roman"/>
          <w:sz w:val="16"/>
          <w:szCs w:val="16"/>
          <w:color w:val="auto"/>
        </w:rPr>
        <w:t>Pursuant to relevant provisions of the PRC Insurance Law, an insurance broker and an insurance agency shall, in accordance with the provisions stipulated by the insurance supervision and control authority under the State Council, make contributions to security deposit or apply for professional liability insurance.</w:t>
      </w:r>
    </w:p>
    <w:p>
      <w:pPr>
        <w:spacing w:after="0" w:line="157" w:lineRule="exact"/>
        <w:rPr>
          <w:sz w:val="20"/>
          <w:szCs w:val="20"/>
          <w:color w:val="auto"/>
        </w:rPr>
      </w:pPr>
    </w:p>
    <w:p>
      <w:pPr>
        <w:ind w:left="700" w:right="60" w:firstLine="393"/>
        <w:spacing w:after="0" w:line="259" w:lineRule="auto"/>
        <w:rPr>
          <w:sz w:val="20"/>
          <w:szCs w:val="20"/>
          <w:color w:val="auto"/>
        </w:rPr>
      </w:pPr>
      <w:r>
        <w:rPr>
          <w:rFonts w:ascii="Times New Roman" w:cs="Times New Roman" w:eastAsia="Times New Roman" w:hAnsi="Times New Roman"/>
          <w:sz w:val="16"/>
          <w:szCs w:val="16"/>
          <w:color w:val="auto"/>
        </w:rPr>
        <w:t>Once the professional liability insurance is procured, an insurance broker and a specialized insurance agency shall ensure that the insurance remains valid. The maximum compensation for each accident under the professional liability insurance procured by an insurance broker or a specialized insurance agency shall be no less than RMB1 million. One-year accumulated maximum compensation shall be no less than RMB10 million and no less than the insurance broker’s or the specialized insurance agency’s income from primary business in the previous year. A concurrent-business insurance agency shall purchase professional liability insurance or make contributions to security deposit in accordance with the rules of the CBIRC.</w:t>
      </w:r>
    </w:p>
    <w:p>
      <w:pPr>
        <w:spacing w:after="0" w:line="164" w:lineRule="exact"/>
        <w:rPr>
          <w:sz w:val="20"/>
          <w:szCs w:val="20"/>
          <w:color w:val="auto"/>
        </w:rPr>
      </w:pPr>
    </w:p>
    <w:p>
      <w:pPr>
        <w:ind w:left="700" w:right="160" w:firstLine="393"/>
        <w:spacing w:after="0" w:line="262" w:lineRule="auto"/>
        <w:rPr>
          <w:sz w:val="20"/>
          <w:szCs w:val="20"/>
          <w:color w:val="auto"/>
        </w:rPr>
      </w:pPr>
      <w:r>
        <w:rPr>
          <w:rFonts w:ascii="Times New Roman" w:cs="Times New Roman" w:eastAsia="Times New Roman" w:hAnsi="Times New Roman"/>
          <w:sz w:val="16"/>
          <w:szCs w:val="16"/>
          <w:color w:val="auto"/>
        </w:rPr>
        <w:t>If an insurance brokerage company and a specialized insurance agency company intends to pay deposit, the deposit shall be paid at 5% of its registered capital; if the insurance brokerage company and the specialized insurance agency company increase the registered capital, the amount of the deposit shall be increased proportionately. An insurance brokerage company and a specialized insurance agency company shall pay the deposit in full. The deposit shall be stored in a designated account in the form of bank deposit to a commercial bank or in any other form approved by the CBIRC.</w:t>
      </w:r>
    </w:p>
    <w:p>
      <w:pPr>
        <w:spacing w:after="0" w:line="1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Under any of the following circumstances, an insurance brokerage company and a specialized insurance agency company may use the deposit:</w:t>
      </w:r>
    </w:p>
    <w:p>
      <w:pPr>
        <w:spacing w:after="0" w:line="25" w:lineRule="exact"/>
        <w:rPr>
          <w:sz w:val="20"/>
          <w:szCs w:val="20"/>
          <w:color w:val="auto"/>
        </w:rPr>
      </w:pPr>
    </w:p>
    <w:p>
      <w:pPr>
        <w:ind w:left="700" w:right="100" w:firstLine="7"/>
        <w:spacing w:after="0" w:line="263" w:lineRule="auto"/>
        <w:tabs>
          <w:tab w:leader="none" w:pos="892"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of the registered capital; (ii) cancellation of the license; (iii) taking out of professional liability insurance in conformity with the conditions; or (iv) other circumstances provided for by the CBIRC.</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95</w:t>
      </w:r>
    </w:p>
    <w:p>
      <w:pPr>
        <w:sectPr>
          <w:pgSz w:w="11900" w:h="16838" w:orient="portrait"/>
          <w:cols w:equalWidth="0" w:num="1">
            <w:col w:w="10540"/>
          </w:cols>
          <w:pgMar w:left="320" w:top="447" w:right="10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60" w:firstLine="393"/>
        <w:spacing w:after="0" w:line="267" w:lineRule="auto"/>
        <w:rPr>
          <w:sz w:val="20"/>
          <w:szCs w:val="20"/>
          <w:color w:val="auto"/>
        </w:rPr>
      </w:pPr>
      <w:r>
        <w:rPr>
          <w:rFonts w:ascii="Times New Roman" w:cs="Times New Roman" w:eastAsia="Times New Roman" w:hAnsi="Times New Roman"/>
          <w:sz w:val="16"/>
          <w:szCs w:val="16"/>
          <w:color w:val="auto"/>
        </w:rPr>
        <w:t>According to the Insurance Adjusters Provisions, an insurance adjuster shall, within twenty days from the date when the recordation is announced and based on business needs, establish an occupational risk fund, or purchase the professional liability insurance, and improve the risk prevention procedures.</w:t>
      </w:r>
    </w:p>
    <w:p>
      <w:pPr>
        <w:spacing w:after="0" w:line="157" w:lineRule="exact"/>
        <w:rPr>
          <w:sz w:val="20"/>
          <w:szCs w:val="20"/>
          <w:color w:val="auto"/>
        </w:rPr>
      </w:pPr>
    </w:p>
    <w:p>
      <w:pPr>
        <w:ind w:left="700" w:right="100" w:firstLine="393"/>
        <w:spacing w:after="0" w:line="255" w:lineRule="auto"/>
        <w:rPr>
          <w:sz w:val="20"/>
          <w:szCs w:val="20"/>
          <w:color w:val="auto"/>
        </w:rPr>
      </w:pPr>
      <w:r>
        <w:rPr>
          <w:rFonts w:ascii="Times New Roman" w:cs="Times New Roman" w:eastAsia="Times New Roman" w:hAnsi="Times New Roman"/>
          <w:sz w:val="16"/>
          <w:szCs w:val="16"/>
          <w:color w:val="auto"/>
        </w:rPr>
        <w:t>An insurance adjuster that establishes an occupational risk fund shall pay 5% of its main business income in the last year into the fund, and accordingly increase the amount of the occupational risk fund, if the annual main business income is increased; and it is not required to increase the occupational risk fund, if the deposit amount of the occupational risk fund reaches RMB1 million. An insurance adjuster that purchases professional liability insurance shall ensure the continuous validity of the insurance. The limit of liability for each accident under the professional liability insurance purchased by an insurance adjuster shall not be less than RMB1 million, and the cumulative one-year limit of liability shall not be less than</w:t>
      </w:r>
    </w:p>
    <w:p>
      <w:pPr>
        <w:spacing w:after="0" w:line="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RMB10 million and not be less than main business income of the insurance adjuster in the last year.</w:t>
      </w:r>
    </w:p>
    <w:p>
      <w:pPr>
        <w:spacing w:after="0" w:line="2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Anti-money Laundering</w:t>
      </w:r>
    </w:p>
    <w:p>
      <w:pPr>
        <w:spacing w:after="0" w:line="107" w:lineRule="exact"/>
        <w:rPr>
          <w:sz w:val="20"/>
          <w:szCs w:val="20"/>
          <w:color w:val="auto"/>
        </w:rPr>
      </w:pPr>
    </w:p>
    <w:p>
      <w:pPr>
        <w:ind w:left="700" w:right="380" w:firstLine="393"/>
        <w:spacing w:after="0" w:line="267" w:lineRule="auto"/>
        <w:rPr>
          <w:sz w:val="20"/>
          <w:szCs w:val="20"/>
          <w:color w:val="auto"/>
        </w:rPr>
      </w:pPr>
      <w:r>
        <w:rPr>
          <w:rFonts w:ascii="Times New Roman" w:cs="Times New Roman" w:eastAsia="Times New Roman" w:hAnsi="Times New Roman"/>
          <w:sz w:val="16"/>
          <w:szCs w:val="16"/>
          <w:color w:val="auto"/>
        </w:rPr>
        <w:t>Pursuant to the Notice of Strengthening Anti-money Laundering in Insurance Industry promulgated by the CIRC on August 10, 2010, and Administrative Measures for Anti-money Laundering Agenda in Insurance Industry promulgated on September 13, 2011, by the CIRC and became effective on October 1, 2011, the CBIRC shall organize, coordinate and direct anti-money laundering effort in insurance industry.</w:t>
      </w:r>
    </w:p>
    <w:p>
      <w:pPr>
        <w:spacing w:after="0" w:line="157" w:lineRule="exact"/>
        <w:rPr>
          <w:sz w:val="20"/>
          <w:szCs w:val="20"/>
          <w:color w:val="auto"/>
        </w:rPr>
      </w:pPr>
    </w:p>
    <w:p>
      <w:pPr>
        <w:ind w:left="700" w:right="20" w:firstLine="393"/>
        <w:spacing w:after="0" w:line="258" w:lineRule="auto"/>
        <w:rPr>
          <w:sz w:val="20"/>
          <w:szCs w:val="20"/>
          <w:color w:val="auto"/>
        </w:rPr>
      </w:pPr>
      <w:r>
        <w:rPr>
          <w:rFonts w:ascii="Times New Roman" w:cs="Times New Roman" w:eastAsia="Times New Roman" w:hAnsi="Times New Roman"/>
          <w:sz w:val="16"/>
          <w:szCs w:val="16"/>
          <w:color w:val="auto"/>
        </w:rPr>
        <w:t>According to the provisions of the Administrative Measures for Anti-money Laundering Agenda in Insurance Industry, insurance brokerage companies shall, in the light of the real-name system for policies and according to the work principles that client materials are complete, transaction records are available for inspection and circulation of funds is regulated, effectively enhance the internal control level of anti-money laundering. Insurance brokerage companies shall establish an internal control system for anti-money laundering and prohibit funds which have an illegal source from investing into their equity. The senior management officers of insurance brokerage companies shall understand laws and regulations on anti-money laundering.</w:t>
      </w:r>
    </w:p>
    <w:p>
      <w:pPr>
        <w:spacing w:after="0" w:line="163" w:lineRule="exact"/>
        <w:rPr>
          <w:sz w:val="20"/>
          <w:szCs w:val="20"/>
          <w:color w:val="auto"/>
        </w:rPr>
      </w:pPr>
    </w:p>
    <w:p>
      <w:pPr>
        <w:ind w:left="700" w:right="120" w:firstLine="393"/>
        <w:spacing w:after="0" w:line="284" w:lineRule="auto"/>
        <w:rPr>
          <w:sz w:val="20"/>
          <w:szCs w:val="20"/>
          <w:color w:val="auto"/>
        </w:rPr>
      </w:pPr>
      <w:r>
        <w:rPr>
          <w:rFonts w:ascii="Times New Roman" w:cs="Times New Roman" w:eastAsia="Times New Roman" w:hAnsi="Times New Roman"/>
          <w:sz w:val="16"/>
          <w:szCs w:val="16"/>
          <w:color w:val="auto"/>
        </w:rPr>
        <w:t>Pursuant to the Notice of Strengthening Anti-money Laundering in Insurance Industry, equity investments in insurance intermediaries and equity structure changes therein should be in line with relevant requirements on fund sources in anti-money laundering laws and regulations of the PRC.</w:t>
      </w:r>
    </w:p>
    <w:p>
      <w:pPr>
        <w:spacing w:after="0" w:line="143" w:lineRule="exact"/>
        <w:rPr>
          <w:sz w:val="20"/>
          <w:szCs w:val="20"/>
          <w:color w:val="auto"/>
        </w:rPr>
      </w:pPr>
    </w:p>
    <w:p>
      <w:pPr>
        <w:ind w:left="700" w:right="60" w:firstLine="393"/>
        <w:spacing w:after="0" w:line="259" w:lineRule="auto"/>
        <w:rPr>
          <w:sz w:val="20"/>
          <w:szCs w:val="20"/>
          <w:color w:val="auto"/>
        </w:rPr>
      </w:pPr>
      <w:r>
        <w:rPr>
          <w:rFonts w:ascii="Times New Roman" w:cs="Times New Roman" w:eastAsia="Times New Roman" w:hAnsi="Times New Roman"/>
          <w:sz w:val="16"/>
          <w:szCs w:val="16"/>
          <w:color w:val="auto"/>
        </w:rPr>
        <w:t>Newly established insurance intermediaries and branch institutions and those restructured or reformed should meet anti-money laundering criteria specified by the CIRC, including (i) establishment of system for client identity recognition, client identity and transaction record keeping, training and education, auditing, confidentiality, internal control system and operation protocols including those facilitating monitoring and inspection and administrative investigation; (ii) dedicated anti-money laundering posts and job descriptions, manning and training for such posts; (iii) other requirements according to regulatory provisions.</w:t>
      </w:r>
    </w:p>
    <w:p>
      <w:pPr>
        <w:spacing w:after="0" w:line="2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Business Scope of Insurance Intermediaries</w:t>
      </w:r>
    </w:p>
    <w:p>
      <w:pPr>
        <w:spacing w:after="0" w:line="109"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According to the Insurance Brokerages Provisions, an insurance broker when engaging in insurance brokerage business, may not exceed the business scope and business area of the underwriter. An insurance broker may operate all or part of the following businesses: (i) draft insurance plans for policyholders, select insurance companies and process insurance application formalities; (ii) assist insured parties or beneficiaries in making claims;</w:t>
      </w:r>
    </w:p>
    <w:p>
      <w:pPr>
        <w:spacing w:after="0" w:line="1" w:lineRule="exact"/>
        <w:rPr>
          <w:sz w:val="20"/>
          <w:szCs w:val="20"/>
          <w:color w:val="auto"/>
        </w:rPr>
      </w:pPr>
    </w:p>
    <w:p>
      <w:pPr>
        <w:ind w:left="700" w:right="240" w:firstLine="7"/>
        <w:spacing w:after="0" w:line="255" w:lineRule="auto"/>
        <w:tabs>
          <w:tab w:leader="none" w:pos="98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 out reinsurance brokerage businesses; (iv) provide disaster prevention or loss prevention or risk evaluation and risk management advisory services to entrusting parties; and/or (v) any other insurance brokerage-related businesses stipulated by the CBIRC. Where the CBIRC otherwise provides for any insurance brokerage business involving coinsurance or underwriting insurance at another locality and master policy, such provisions shall prevail.</w:t>
      </w:r>
    </w:p>
    <w:p>
      <w:pPr>
        <w:spacing w:after="0" w:line="166" w:lineRule="exact"/>
        <w:rPr>
          <w:sz w:val="20"/>
          <w:szCs w:val="20"/>
          <w:color w:val="auto"/>
        </w:rPr>
      </w:pPr>
    </w:p>
    <w:p>
      <w:pPr>
        <w:ind w:left="700" w:right="140" w:firstLine="393"/>
        <w:spacing w:after="0" w:line="267" w:lineRule="auto"/>
        <w:rPr>
          <w:sz w:val="20"/>
          <w:szCs w:val="20"/>
          <w:color w:val="auto"/>
        </w:rPr>
      </w:pPr>
      <w:r>
        <w:rPr>
          <w:rFonts w:ascii="Times New Roman" w:cs="Times New Roman" w:eastAsia="Times New Roman" w:hAnsi="Times New Roman"/>
          <w:sz w:val="16"/>
          <w:szCs w:val="16"/>
          <w:color w:val="auto"/>
        </w:rPr>
        <w:t>An insurance broker and its practitioners may not sell non-insurance financial products, except for non-insurance financial products approved by the relevant financial regulatory authorities. Before selling non-insurance financial products, an insurance broker and its practitioners shall have the necessary qualifications.</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96</w:t>
      </w:r>
    </w:p>
    <w:p>
      <w:pPr>
        <w:sectPr>
          <w:pgSz w:w="11900" w:h="16838" w:orient="portrait"/>
          <w:cols w:equalWidth="0" w:num="1">
            <w:col w:w="10540"/>
          </w:cols>
          <w:pgMar w:left="320" w:top="447" w:right="10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180" w:firstLine="393"/>
        <w:spacing w:after="0" w:line="256" w:lineRule="auto"/>
        <w:rPr>
          <w:sz w:val="20"/>
          <w:szCs w:val="20"/>
          <w:color w:val="auto"/>
        </w:rPr>
      </w:pPr>
      <w:r>
        <w:rPr>
          <w:rFonts w:ascii="Times New Roman" w:cs="Times New Roman" w:eastAsia="Times New Roman" w:hAnsi="Times New Roman"/>
          <w:sz w:val="16"/>
          <w:szCs w:val="16"/>
          <w:color w:val="auto"/>
        </w:rPr>
        <w:t>According to the Insurance Agents Provisions, a specialized insurance agency when engaging in insurance agency business, may not exceed the business scope and business area of the underwriter. A specialized insurance agency may operate all or part of the following businesses: (i) sell insurance products as an agent; (ii) collect insurance fees as an agent; (iii) conduct loss investigation and claims settlement concerning insurance business; (iv) any other insurance agency-related businesses stipulated by the CBIRC. An insurance agency shall not engage in insurance agency business beyond the business scope and operating regions of the insurance company on behalf of which it provides agency services, except insurance agency business involving co-insurance outside its business territory, insurance underwritten outside its business territory, or master policies as otherwise prescribed by the CBIRC.</w:t>
      </w:r>
    </w:p>
    <w:p>
      <w:pPr>
        <w:spacing w:after="0" w:line="169" w:lineRule="exact"/>
        <w:rPr>
          <w:sz w:val="20"/>
          <w:szCs w:val="20"/>
          <w:color w:val="auto"/>
        </w:rPr>
      </w:pPr>
    </w:p>
    <w:p>
      <w:pPr>
        <w:ind w:left="700" w:right="80" w:firstLine="393"/>
        <w:spacing w:after="0" w:line="259" w:lineRule="auto"/>
        <w:rPr>
          <w:sz w:val="20"/>
          <w:szCs w:val="20"/>
          <w:color w:val="auto"/>
        </w:rPr>
      </w:pPr>
      <w:r>
        <w:rPr>
          <w:rFonts w:ascii="Times New Roman" w:cs="Times New Roman" w:eastAsia="Times New Roman" w:hAnsi="Times New Roman"/>
          <w:sz w:val="16"/>
          <w:szCs w:val="16"/>
          <w:color w:val="auto"/>
        </w:rPr>
        <w:t>According to the Insurance Adjusters Provision, an insurance adjuster when engaging in insurance adjustment assessment business, may not exceed the business scope and business area of the underwriter. An insurance adjuster may operate all or part of the following businesses:(i) the pre-underwriting and post-underwriting inspection, valuation, and risk assessment of the subject matters of insurance; (ii) the post-claim survey, inspection, loss assessment, and claim settlement in respect of the subject matters of insurance as well as the disposition of their residual value; (iii) risk management consulting; (iv) other business as prescribed by the CBIRC.</w:t>
      </w:r>
    </w:p>
    <w:p>
      <w:pPr>
        <w:spacing w:after="0" w:line="2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Services and Products Provided by Insurance Intermediaries and Their Practitioners</w:t>
      </w:r>
    </w:p>
    <w:p>
      <w:pPr>
        <w:spacing w:after="0" w:line="109" w:lineRule="exact"/>
        <w:rPr>
          <w:sz w:val="20"/>
          <w:szCs w:val="20"/>
          <w:color w:val="auto"/>
        </w:rPr>
      </w:pPr>
    </w:p>
    <w:p>
      <w:pPr>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Pursuant to the Basic Service Standards for Insurance Brokers promulgated by the CIRC on January 16, 2013, the service steps and content of insurance brokers for insurance clients (consumers) include but not limited to the establishment of insurance brokerage relationship, risk assessment, preparation of insurance purchase plan, selection of insurance companies for the clients, procedures for taking out insurance policies, services during the insurance period, assistance in claims and complaint settlement.</w:t>
      </w:r>
    </w:p>
    <w:p>
      <w:pPr>
        <w:spacing w:after="0" w:line="161"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Aiming to maximize benefits for clients in providing services, insurance brokers shall comply with laws, administrative regulations and the relevant provisions of the CIRC, act in good faith with professional competency and due diligence, fully perform the notification obligations, disclose all the relevant information and protect the privacy and business secrets of clients. Employees in such industry shall fulfill the legitimate qualification conditions with good occupational ethics and strong practice capability. An insurance broker shall: (i) notify and disclose all the necessary details in establishing insurance brokerage service relationship with clients; (ii) be professional in risk assessment for clients with due care; (iii) prepare complete and proper insurance purchase plan for clients; (iv) put client interests first in choosing insurance companies; (v) be meticulous and proper in going through insurance purchase formalities for clients; (vi) provide considerate and complete services during insurance period; (vii) be fast and dutiful in assisting clients’ claims (while only licensed insurance companies should have the right to decide on claim settlement); and (viii) deal with complaints in an effective and timely manner.</w:t>
      </w:r>
    </w:p>
    <w:p>
      <w:pPr>
        <w:spacing w:after="0" w:line="169" w:lineRule="exact"/>
        <w:rPr>
          <w:sz w:val="20"/>
          <w:szCs w:val="20"/>
          <w:color w:val="auto"/>
        </w:rPr>
      </w:pPr>
    </w:p>
    <w:p>
      <w:pPr>
        <w:ind w:left="700" w:right="40" w:firstLine="393"/>
        <w:spacing w:after="0" w:line="256" w:lineRule="auto"/>
        <w:rPr>
          <w:sz w:val="20"/>
          <w:szCs w:val="20"/>
          <w:color w:val="auto"/>
        </w:rPr>
      </w:pPr>
      <w:r>
        <w:rPr>
          <w:rFonts w:ascii="Times New Roman" w:cs="Times New Roman" w:eastAsia="Times New Roman" w:hAnsi="Times New Roman"/>
          <w:sz w:val="16"/>
          <w:szCs w:val="16"/>
          <w:color w:val="auto"/>
        </w:rPr>
        <w:t>Pursuant to the Basic Service Standards for Insurance Agencies promulgated by the CIRC on January 16, 2013, the service steps and content of insurance agencies for insurance clients (consumers) include but not limited to sufficient communications with customers to understand their insurance needs, recommendation of insurance products, assistance to customers in their handling of insurance application formalities, offering of preservation service, assistance to customers in their claims, handling of complaints and so forth. An insurance agency shall: (i) make full notification and disclosure when contacting a customer for the first time; provide pre-sale service in a thoughtful and responsible manner; (ii) provide in-sale service in a comprehensive and meticulous manner; (iii) provide after-sale service in a diligent and efficient manner; (iv) assist a customer in claiming for indemnity in an appropriate and timely manner; (v) handle complaints in a timely and effective manner.</w:t>
      </w:r>
    </w:p>
    <w:p>
      <w:pPr>
        <w:spacing w:after="0" w:line="169" w:lineRule="exact"/>
        <w:rPr>
          <w:sz w:val="20"/>
          <w:szCs w:val="20"/>
          <w:color w:val="auto"/>
        </w:rPr>
      </w:pPr>
    </w:p>
    <w:p>
      <w:pPr>
        <w:ind w:left="700" w:right="200" w:firstLine="393"/>
        <w:spacing w:after="0" w:line="256" w:lineRule="auto"/>
        <w:rPr>
          <w:sz w:val="20"/>
          <w:szCs w:val="20"/>
          <w:color w:val="auto"/>
        </w:rPr>
      </w:pPr>
      <w:r>
        <w:rPr>
          <w:rFonts w:ascii="Times New Roman" w:cs="Times New Roman" w:eastAsia="Times New Roman" w:hAnsi="Times New Roman"/>
          <w:sz w:val="16"/>
          <w:szCs w:val="16"/>
          <w:color w:val="auto"/>
        </w:rPr>
        <w:t>According to the Basic Service Standards for Insurance Assessment Agencies promulgated by the CIRC on January 16, 2013, the steps and contents of insurance assessment services offered by insurance assessment agencies to customers shall include, but not limited to, acceptance of entrustment to establish insurance assessment service relationship, risk assessment for the entrusting parties, survey on the subject matter after the accident, determination of responsibilities and losses, handling of insurance consumers’ complaints and so forth. Insurance assessment agencies shall:</w:t>
      </w:r>
    </w:p>
    <w:p>
      <w:pPr>
        <w:spacing w:after="0" w:line="3" w:lineRule="exact"/>
        <w:rPr>
          <w:sz w:val="20"/>
          <w:szCs w:val="20"/>
          <w:color w:val="auto"/>
        </w:rPr>
      </w:pPr>
    </w:p>
    <w:p>
      <w:pPr>
        <w:ind w:left="700" w:right="80" w:firstLine="7"/>
        <w:spacing w:after="0" w:line="257" w:lineRule="auto"/>
        <w:tabs>
          <w:tab w:leader="none" w:pos="89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full notification and disclosure when deciding to establish an insurance assessment service relationship; (ii) conduct risk assessment in a professional and prudent manner; (iii) conduct survey in a detailed and timely manner; (iv) determine liabilities and assess losses in a conscientious and impartial manner, and conduct complete communication; (v) handle complaints in a timely and effective manner.</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97</w:t>
      </w:r>
    </w:p>
    <w:p>
      <w:pPr>
        <w:sectPr>
          <w:pgSz w:w="11900" w:h="16838" w:orient="portrait"/>
          <w:cols w:equalWidth="0" w:num="1">
            <w:col w:w="10540"/>
          </w:cols>
          <w:pgMar w:left="320" w:top="447" w:right="10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460" w:firstLine="393"/>
        <w:spacing w:after="0" w:line="262" w:lineRule="auto"/>
        <w:rPr>
          <w:sz w:val="20"/>
          <w:szCs w:val="20"/>
          <w:color w:val="auto"/>
        </w:rPr>
      </w:pPr>
      <w:r>
        <w:rPr>
          <w:rFonts w:ascii="Times New Roman" w:cs="Times New Roman" w:eastAsia="Times New Roman" w:hAnsi="Times New Roman"/>
          <w:sz w:val="16"/>
          <w:szCs w:val="16"/>
          <w:color w:val="auto"/>
        </w:rPr>
        <w:t>According to the Insurance Brokerages Provisions and the Insurance Agents Provisions, an insurance broker, an insurance agent, and their practitioners may not have the following acts in handling insurance business: (i) cheating the insurer, the applicant, the insured or the beneficiary;</w:t>
      </w:r>
    </w:p>
    <w:p>
      <w:pPr>
        <w:ind w:left="700" w:firstLine="7"/>
        <w:spacing w:after="0" w:line="252" w:lineRule="auto"/>
        <w:tabs>
          <w:tab w:leader="none" w:pos="936"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concealing any important circumstances relating to the insurance contract; (iii) obstructing the applicant to fulfill the obligation of telling the truth, or inducing the applicant not to fulfill the same; (iv) granting or promising to grant to the applicant, the insured or the beneficiary any interest other than that stipulated in the insurance contract; (v) compelling, inducing the applicant to enter or restricting from entry into an insurance contract by using its administrative power, position or the advantage of their profession and other improper means; (vi) forging or altering the insurance contract without authorization or providing false evidence for parties to the insurance contract; (vii) misappropriating, retaining or embezzling the premiums or insurance benefits; (viii) making use of the advantages of the business to obtain improper benefits for other institutions or individuals; (ix) defrauding insurance benefits in collusion with the applicant, the insured or the beneficiary; or (x) disclosing trade secrets of the insurer, the applicant and the insured known during the business activities. An insurance broker, an insurance agent and their practitioners shall not solicit or accept any remuneration or other property other than those as agreed in contract and granted by any insurance company or its staff or take advantage of executing the insurance brokerage business to obtain other illegal benefits in the course of carrying out the insurance brokerage/agency business.</w:t>
      </w:r>
    </w:p>
    <w:p>
      <w:pPr>
        <w:spacing w:after="0" w:line="173"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In addition, an insurance broker shall prepare standardized information booklets for customers in the course of conducting businesses. The information booklet for customers shall include the following matters: (i) name, business premises, scope of business and contact details of the insurance broker; (ii) the method for obtaining of remuneration by the insurance broker, including information on whether the insurance broker collects commission from the insurance company etc.; (iii) whether the insurance broker and its senior management personnel are a related party of an insurance company or any other insurance intermediary which relate to its brokerage businesses; and (iv) complaint channel and dispute resolution method. Unless as otherwise prescribed by the CBIRC, an insurance agency shall, during the process of engaging in business, develop and produce the client notification. A client notification shall, at a minimum, include the following: (i) name, business premise, scope of business and contact methods of the insurance agency and the insurance company; (ii) whether there is any affiliation relationship between the senior executives of a full-time insurance agency and the insurance company for which agency services are provided or another insurance intermediary institution; and (iii) complaint channel and dispute resolution method.</w:t>
      </w:r>
    </w:p>
    <w:p>
      <w:pPr>
        <w:spacing w:after="0" w:line="166"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According to the Insurance Adjusters Provisions, an insurance adjuster may not have the following acts in handling insurance adjustment assessment business: (i) seeking illicit benefits by taking advantage of its business; (ii) permitting another institution to carry out business in its name, or carrying out business by illegally using the name of another institution; (iii) soliciting business by illicit means such as maliciously beating down prices, offering kickbacks, conducting false publicity or disparaging or defaming any other adjustment institution; (iv) accepting any business to which it is an interested party; (v) accepting the authorization of both parties to the conflict of interest respectively and conducting appraisal of the same appraisal object; (vi) issuing any false adjustment report or any adjustment report with material omission; (vii) retaining or designating a person who does not comply with the provisions to carry out adjustment business; and (viii) committing any other violation of law or administrative regulation. In addition, an insurance adjuster shall develop a standard client notification letter and present it to clients when carrying out business. A client notification letter shall, at a minimum, include the name, recordation information, business premises, scope of business, contact information, complaint channels, dispute settlement methods and other basic matters of the insurance adjuster.</w:t>
      </w:r>
    </w:p>
    <w:p>
      <w:pPr>
        <w:spacing w:after="0" w:line="166" w:lineRule="exact"/>
        <w:rPr>
          <w:sz w:val="20"/>
          <w:szCs w:val="20"/>
          <w:color w:val="auto"/>
        </w:rPr>
      </w:pPr>
    </w:p>
    <w:p>
      <w:pPr>
        <w:ind w:left="700" w:right="60" w:firstLine="393"/>
        <w:spacing w:after="0" w:line="259" w:lineRule="auto"/>
        <w:rPr>
          <w:sz w:val="20"/>
          <w:szCs w:val="20"/>
          <w:color w:val="auto"/>
        </w:rPr>
      </w:pPr>
      <w:r>
        <w:rPr>
          <w:rFonts w:ascii="Times New Roman" w:cs="Times New Roman" w:eastAsia="Times New Roman" w:hAnsi="Times New Roman"/>
          <w:sz w:val="16"/>
          <w:szCs w:val="16"/>
          <w:color w:val="auto"/>
        </w:rPr>
        <w:t>According to the Administrative Measures on Insurance Clauses and Premium Rates of Life Insurers, last amended on October 19, 2015, by the CBIRC, the insurance clauses and premium rates of the following insurance types of an insurer shall be submitted to CBIRC for examination and approval prior to their launch: (i) insurance concerning public interests; (ii) insurance compulsorily enforced according to law; (iii) life insurance newly developed as required by CBIRC; and (iv) other insurance specified by the CBIRC. Types of insurance other than those listed above shall be submitted to CBIRC for record.</w:t>
      </w:r>
    </w:p>
    <w:p>
      <w:pPr>
        <w:spacing w:after="0" w:line="164"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According to the Administrative Measures on the Insurance Clauses and Premium Rates of Property Insurance Companies, which was promulgated on February 5, 2010, by the CIRC, and became effective from April 1, 2010, and was amended on August 16, 2021, with an effective date of October 1, 2021, the insurance clauses and premium rates for types of property insurances that concern public interests or that are of a compulsory nature shall be reported by the insurance company to the CBIRC for approval in accordance with the provisions of such Measures. The insurance clauses and premium rates for other types of property insurances shall be reported by insurance companies to CBIRC or its local offices at the provincial level for record-filing.</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98</w:t>
      </w:r>
    </w:p>
    <w:p>
      <w:pPr>
        <w:sectPr>
          <w:pgSz w:w="11900" w:h="16838" w:orient="portrait"/>
          <w:cols w:equalWidth="0" w:num="1">
            <w:col w:w="10520"/>
          </w:cols>
          <w:pgMar w:left="320" w:top="447" w:right="10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20" w:firstLine="393"/>
        <w:spacing w:after="0" w:line="259" w:lineRule="auto"/>
        <w:rPr>
          <w:sz w:val="20"/>
          <w:szCs w:val="20"/>
          <w:color w:val="auto"/>
        </w:rPr>
      </w:pPr>
      <w:r>
        <w:rPr>
          <w:rFonts w:ascii="Times New Roman" w:cs="Times New Roman" w:eastAsia="Times New Roman" w:hAnsi="Times New Roman"/>
          <w:sz w:val="16"/>
          <w:szCs w:val="16"/>
          <w:color w:val="auto"/>
        </w:rPr>
        <w:t>Pursuant to the Circular on Matters Concerning Improving the Valuation Interest Rates Formation Mechanism for Liability Reserves for the Life Insurance Sector and Adjusting the Valuation Interest Rates for Liability Reserves, promulgated by the CBIRC on August 30, 2019, and took effect on the same day, the upper limit of valuation interest rates for ordinary life insurance policies issued on and after August 5, 2013, shall be the less of: (i) the annual compound interest rate of 3.5%, and (ii) the assumed interest rate, and the valuation interest rates for ordinary life insurance policies issued before August 5, 2013, will continue to follow what is specified in the original provisions.</w:t>
      </w:r>
    </w:p>
    <w:p>
      <w:pPr>
        <w:spacing w:after="0" w:line="164"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On August 7, 2006, the CIRC promulgated the Health Insurance Management Measures, which was amended on October 31, 2019, with an effective date of December 1, 2019, pursuant to which “health insurance” refers to insurance whereby an insurance company pays insurance in the event of any insurance events due to health or medical treatment of the insured, mainly including medical insurance, sickness insurance, disability income insurance, care insurance, medical accident insurance, etc. Health insurance companies, life insurance companies and pension insurance companies established according to the relevant laws may, upon approval by the CBIRC, engage in the business of health insurance. Insurance companies other than the aforementioned may, upon approval by the CBIRC, engage in the business of short-term health insurance. In addition, an insurance company is entitled to stipulate rate adjustment for long-term medical insurance products in the insurance policies, and is required to clearly indicate the trigger conditions for the rate adjustment.</w:t>
      </w:r>
    </w:p>
    <w:p>
      <w:pPr>
        <w:spacing w:after="0" w:line="165" w:lineRule="exact"/>
        <w:rPr>
          <w:sz w:val="20"/>
          <w:szCs w:val="20"/>
          <w:color w:val="auto"/>
        </w:rPr>
      </w:pPr>
    </w:p>
    <w:p>
      <w:pPr>
        <w:ind w:left="700" w:firstLine="393"/>
        <w:spacing w:after="0" w:line="267" w:lineRule="auto"/>
        <w:rPr>
          <w:sz w:val="20"/>
          <w:szCs w:val="20"/>
          <w:color w:val="auto"/>
        </w:rPr>
      </w:pPr>
      <w:r>
        <w:rPr>
          <w:rFonts w:ascii="Times New Roman" w:cs="Times New Roman" w:eastAsia="Times New Roman" w:hAnsi="Times New Roman"/>
          <w:sz w:val="16"/>
          <w:szCs w:val="16"/>
          <w:color w:val="auto"/>
        </w:rPr>
        <w:t>In November 2020, the Circular on Matters concerning the Use of the Illness Definitions for Critical Illness Insurance and the Definition of Illness under Critical Illness Insurance was promulgated, reclassifying the definition of illness under critical illness insurance and expanding the scope of certain diseases.</w:t>
      </w:r>
    </w:p>
    <w:p>
      <w:pPr>
        <w:spacing w:after="0" w:line="157" w:lineRule="exact"/>
        <w:rPr>
          <w:sz w:val="20"/>
          <w:szCs w:val="20"/>
          <w:color w:val="auto"/>
        </w:rPr>
      </w:pPr>
    </w:p>
    <w:p>
      <w:pPr>
        <w:ind w:left="700" w:right="140" w:firstLine="393"/>
        <w:spacing w:after="0" w:line="267" w:lineRule="auto"/>
        <w:rPr>
          <w:sz w:val="20"/>
          <w:szCs w:val="20"/>
          <w:color w:val="auto"/>
        </w:rPr>
      </w:pPr>
      <w:r>
        <w:rPr>
          <w:rFonts w:ascii="Times New Roman" w:cs="Times New Roman" w:eastAsia="Times New Roman" w:hAnsi="Times New Roman"/>
          <w:sz w:val="16"/>
          <w:szCs w:val="16"/>
          <w:color w:val="auto"/>
        </w:rPr>
        <w:t>On January 19, 2021, the CBIRC issued the Circular regarding Life Insurance Supervision Department of the CBIRC’s Issuance of the Negative List of Personal Insurance Products (2021 Edition), in which the CBIRC set forth criteria that personal insurance products provided by life insurance companies.</w:t>
      </w:r>
    </w:p>
    <w:p>
      <w:pPr>
        <w:spacing w:after="0" w:line="157" w:lineRule="exact"/>
        <w:rPr>
          <w:sz w:val="20"/>
          <w:szCs w:val="20"/>
          <w:color w:val="auto"/>
        </w:rPr>
      </w:pPr>
    </w:p>
    <w:p>
      <w:pPr>
        <w:ind w:left="700" w:right="40" w:firstLine="393"/>
        <w:spacing w:after="0" w:line="255" w:lineRule="auto"/>
        <w:rPr>
          <w:sz w:val="20"/>
          <w:szCs w:val="20"/>
          <w:color w:val="auto"/>
        </w:rPr>
      </w:pPr>
      <w:r>
        <w:rPr>
          <w:rFonts w:ascii="Times New Roman" w:cs="Times New Roman" w:eastAsia="Times New Roman" w:hAnsi="Times New Roman"/>
          <w:sz w:val="16"/>
          <w:szCs w:val="16"/>
          <w:color w:val="auto"/>
        </w:rPr>
        <w:t>On October 12, 2021, the CBIRC issued the Notice on Further Regulating Matters Concerning Internet Personal Insurance Business, pursuant to which internet personal insurance products include accident insurance, health insurance (except nursing insurance), term life insurance, ordinary life insurance with a policy period of more than ten years (except term life insurance) and ordinary annuity insurance with a policy period of more than ten years, and other personal insurance products stipulated by the CBIRC. Pursuant to the notice, internet personal insurance products that do not meet the requirements thereof are prohibited from being offered online, and public display of, or direction to, hyperlinks to the webpages of placing orders on the internet of such internet personal insurance products are prohibited as well. Insurance intermediaries that conduct internet personal insurance business shall strengthen the system development and have operations and service capabilities that meet the requirements set forth in this Notice. The notice also provides that customer service personnel of insurance intermediaries are not allowed to actively conduct marketing activities with regard to internet personal insurance products, and their compensation shall not be linked to the sales results of internet personal insurance products.</w:t>
      </w:r>
    </w:p>
    <w:p>
      <w:pPr>
        <w:spacing w:after="0" w:line="169"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The CBIRC issued the Administrative Measures for the Disclosure of Information on Personal Insurance Products on November 11, 2022, and subsequently issued the Notice on Promulgation of the Information Disclosure Rules for Personal Insurance Products with a Term of More Than One Year on December 30, 2022, which will both take effect on June 30. 2023, comprehensively regulating the sales practices of personal insurance products and further enhancing the transparency of personal insurance products.</w:t>
      </w:r>
    </w:p>
    <w:p>
      <w:pPr>
        <w:spacing w:after="0" w:line="2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Qualification Management for Directors, Supervisors and Senior Management Personnel</w:t>
      </w:r>
    </w:p>
    <w:p>
      <w:pPr>
        <w:spacing w:after="0" w:line="109" w:lineRule="exact"/>
        <w:rPr>
          <w:sz w:val="20"/>
          <w:szCs w:val="20"/>
          <w:color w:val="auto"/>
        </w:rPr>
      </w:pPr>
    </w:p>
    <w:p>
      <w:pPr>
        <w:ind w:left="700" w:right="180" w:firstLine="393"/>
        <w:spacing w:after="0" w:line="259" w:lineRule="auto"/>
        <w:rPr>
          <w:sz w:val="20"/>
          <w:szCs w:val="20"/>
          <w:color w:val="auto"/>
        </w:rPr>
      </w:pPr>
      <w:r>
        <w:rPr>
          <w:rFonts w:ascii="Times New Roman" w:cs="Times New Roman" w:eastAsia="Times New Roman" w:hAnsi="Times New Roman"/>
          <w:sz w:val="16"/>
          <w:szCs w:val="16"/>
          <w:color w:val="auto"/>
        </w:rPr>
        <w:t>According to the Insurance Brokerages Provisions and the Insurance Agents Provisions, senior officers of an insurance broker and a specialized insurance agency refer to the following persons: (i) the general manager and deputy general manager of an insurance brokerage company and a specialized insurance agency; (ii) the principals of provincial branch offices; and (iii) other personnel who exercises important authority over the operation and management of the company. Senior officers of an insurance broker and a specialized insurance agency shall obtain the employment qualification approved by the local branches of CBIRC prior to assumption of duty.</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99</w:t>
      </w:r>
    </w:p>
    <w:p>
      <w:pPr>
        <w:sectPr>
          <w:pgSz w:w="11900" w:h="16838" w:orient="portrait"/>
          <w:cols w:equalWidth="0" w:num="1">
            <w:col w:w="10520"/>
          </w:cols>
          <w:pgMar w:left="320" w:top="447" w:right="10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The senior officers of an insurance broker and a specialized insurance agency shall meet the following conditions: (i) having college degree or above; (ii) having been engaged in finance-related work for more than three years or having been engaged in economics-related work for more than five years; (iii) having the operation and management ability necessary for performing duties, and being familiar with insurance laws, administrative regulations and the relevant CBIRC provisions; and (iv) being honest and trustworthy and of good character. Persons who have been engaged in finance-related work for more than ten years are not subject to clause (i) above. Principals of branches other than the provincial branch offices to be employed by an insurance broker or a specialized insurance agency shall satisfy the conditions listed above.</w:t>
      </w:r>
    </w:p>
    <w:p>
      <w:pPr>
        <w:spacing w:after="0" w:line="163"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Pursuant to the Insurance Brokerages Provisions, any person who falls under any of the following circumstances may not serve as senior officers of an insurance broker and principals of branches other than provincial branch offices: (i) serving as a director, supervisor or senior officer of an insurance company or insurance intermediary whose license has been revoked for not more than three years from the revocation date due to violations of law, and being individually liable or being responsible for leadership for the license revocation; (ii) being a director, supervisor or senior officer of a financial institution whose qualification has been canceled for not more than five years from the date of disqualification due to illegal activities or discipline misconduct; (iii) being prohibited from entering the financial industry for a certain period of time by any financial regulator and the said period is not yet ended; (iv) having been warned or fined by any financial regulator for not more than two years from the date of such warning or fine;</w:t>
      </w:r>
    </w:p>
    <w:p>
      <w:pPr>
        <w:spacing w:after="0" w:line="3" w:lineRule="exact"/>
        <w:rPr>
          <w:sz w:val="20"/>
          <w:szCs w:val="20"/>
          <w:color w:val="auto"/>
        </w:rPr>
      </w:pPr>
    </w:p>
    <w:p>
      <w:pPr>
        <w:ind w:left="700" w:right="60" w:firstLine="7"/>
        <w:spacing w:after="0" w:line="257" w:lineRule="auto"/>
        <w:tabs>
          <w:tab w:leader="none" w:pos="92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being investigated by any judiciary, discipline inspection and supervision departments or financial regulators; (vi) being subject to joint punishments by the relevant state entities and shall be punished in the field of insurance due to serious dishonesty, or being involved in other serious dishonesty records within the recent five years; or (vii) other circumstances specified by laws and administrative regulations and by the CBIRC.</w:t>
      </w:r>
    </w:p>
    <w:p>
      <w:pPr>
        <w:spacing w:after="0" w:line="164" w:lineRule="exact"/>
        <w:rPr>
          <w:sz w:val="20"/>
          <w:szCs w:val="20"/>
          <w:color w:val="auto"/>
        </w:rPr>
      </w:pPr>
    </w:p>
    <w:p>
      <w:pPr>
        <w:ind w:left="700" w:right="180" w:firstLine="393"/>
        <w:spacing w:after="0" w:line="284" w:lineRule="auto"/>
        <w:rPr>
          <w:sz w:val="20"/>
          <w:szCs w:val="20"/>
          <w:color w:val="auto"/>
        </w:rPr>
      </w:pPr>
      <w:r>
        <w:rPr>
          <w:rFonts w:ascii="Times New Roman" w:cs="Times New Roman" w:eastAsia="Times New Roman" w:hAnsi="Times New Roman"/>
          <w:sz w:val="16"/>
          <w:szCs w:val="16"/>
          <w:color w:val="auto"/>
        </w:rPr>
        <w:t>Without the approval of the shareholders’ meeting or the general meeting of shareholders, no senior officers of an insurance broker or principals of branches other than provincial branch offices may work at the same time at any institution with conflict of interest.</w:t>
      </w:r>
    </w:p>
    <w:p>
      <w:pPr>
        <w:spacing w:after="0" w:line="143" w:lineRule="exact"/>
        <w:rPr>
          <w:sz w:val="20"/>
          <w:szCs w:val="20"/>
          <w:color w:val="auto"/>
        </w:rPr>
      </w:pPr>
    </w:p>
    <w:p>
      <w:pPr>
        <w:ind w:left="700" w:firstLine="393"/>
        <w:spacing w:after="0" w:line="253" w:lineRule="auto"/>
        <w:rPr>
          <w:sz w:val="20"/>
          <w:szCs w:val="20"/>
          <w:color w:val="auto"/>
        </w:rPr>
      </w:pPr>
      <w:r>
        <w:rPr>
          <w:rFonts w:ascii="Times New Roman" w:cs="Times New Roman" w:eastAsia="Times New Roman" w:hAnsi="Times New Roman"/>
          <w:sz w:val="16"/>
          <w:szCs w:val="16"/>
          <w:color w:val="auto"/>
        </w:rPr>
        <w:t>Pursuant to the Insurance Agents Provisions, any person who falls under any of the following circumstances shall not be appointed as a senior officer of a specialized insurance agency or the principal of a branch other than the provincial branch company: (i) having no capacity for civil conduct or limited capacity for civil conduct; (ii) having been sentenced to any criminal penalty due to corruption, bribery, encroachment of property, misappropriation of property or disrupting the socialist market order and it is less than five years since the completion of the execution of the penalty; or having been deprived of political rights due to any crime and it is less than five years since the completion of the execution of the penalty; (iii) serving as a director, factory director or manager of a bankrupt and liquidated company or enterprise and being personally responsible for the bankruptcy of such company or enterprise, where not more than three years have elapsed since the completion of the bankruptcy and liquidation; (iv) having served as the legal representative of a company or enterprise whose business license has been revoked or which has been ordered to close down due to a violation of law and being personally liable, and it is less than three years since the date of revocation of the business license; (v) having served as the director, supervisor or senior officer of an insurance company or insurance intermediary whose permit is revoked as a result of violation of laws and being personally liable or having direct leadership liability for the revocation of the permit, and it is less than three years since the date of revocation of the permit; (vi) having served as a director, supervisor or senior officer of a financial institution whose appointment qualifications have been revoked by the financial regulatory authorities due to illegal or disciplinary offense and it is less than five years since the date of revocation of appointment qualifications; (vii) having been barred from the financial industry by the financial regulatory authorities for a certain period of time and such period has not expired yet; (viii) having been warned or fined less than two years by the financial regulatory authorities; (ix) having been investigated by the judicial authorities, disciplinary inspection authorities or financial regulatory authorities; (x) having failed to repay a relatively large amount of personal debt due; (xi) having been identified by the relevant State agencies as a subject of joint punishment for dishonesty and shall be punished in the insurance sector due to a serious dishonest conduct, or having other bad records of serious dishonest conduct within the past five years; or (xii) any other circumstances stipulated by laws, administrative regulations and the provisions of the CBIRC.</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100</w:t>
      </w:r>
    </w:p>
    <w:p>
      <w:pPr>
        <w:sectPr>
          <w:pgSz w:w="11900" w:h="16838" w:orient="portrait"/>
          <w:cols w:equalWidth="0" w:num="1">
            <w:col w:w="10540"/>
          </w:cols>
          <w:pgMar w:left="320" w:top="447" w:right="10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200" w:firstLine="393"/>
        <w:spacing w:after="0" w:line="267" w:lineRule="auto"/>
        <w:rPr>
          <w:sz w:val="20"/>
          <w:szCs w:val="20"/>
          <w:color w:val="auto"/>
        </w:rPr>
      </w:pPr>
      <w:r>
        <w:rPr>
          <w:rFonts w:ascii="Times New Roman" w:cs="Times New Roman" w:eastAsia="Times New Roman" w:hAnsi="Times New Roman"/>
          <w:sz w:val="16"/>
          <w:szCs w:val="16"/>
          <w:color w:val="auto"/>
        </w:rPr>
        <w:t>According to the Insurance Adjusters Provisions, senior officers of an insurance adjuster refer to the following persons: (i) the general manager and deputy general manager of an insurance adjustment assessment company; (ii) the executive partner of an insurance adjustment assessment partnership; (iii) the primary person in charge of a branch; and (iv) executives who have the same function and power as the aforesaid personnel.</w:t>
      </w:r>
    </w:p>
    <w:p>
      <w:pPr>
        <w:spacing w:after="0" w:line="157" w:lineRule="exact"/>
        <w:rPr>
          <w:sz w:val="20"/>
          <w:szCs w:val="20"/>
          <w:color w:val="auto"/>
        </w:rPr>
      </w:pPr>
    </w:p>
    <w:p>
      <w:pPr>
        <w:ind w:left="700" w:right="40" w:firstLine="393"/>
        <w:spacing w:after="0" w:line="259" w:lineRule="auto"/>
        <w:rPr>
          <w:sz w:val="20"/>
          <w:szCs w:val="20"/>
          <w:color w:val="auto"/>
        </w:rPr>
      </w:pPr>
      <w:r>
        <w:rPr>
          <w:rFonts w:ascii="Times New Roman" w:cs="Times New Roman" w:eastAsia="Times New Roman" w:hAnsi="Times New Roman"/>
          <w:sz w:val="16"/>
          <w:szCs w:val="16"/>
          <w:color w:val="auto"/>
        </w:rPr>
        <w:t>The board chairman or executive director or senior executive of an insurance adjuster shall meet the following conditions: (i) he or she has an educational background of junior college or above; (ii) having been engaged in financial work or asset appraisal work for more than three years or having been engaged in economic work for more than five years; (iii) having the management capability required for performing the duties and familiar with insurance laws and administrative regulations and the relevant provisions issued by the CBIRC; and (iv) being honest and trustworthy and of good character. Persons who have been engaged in financial or asset appraisal work for more than ten years are not subject to clause (i) above.</w:t>
      </w:r>
    </w:p>
    <w:p>
      <w:pPr>
        <w:spacing w:after="0" w:line="2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Qualification Management for Insurance Brokerage Practitioners</w:t>
      </w:r>
    </w:p>
    <w:p>
      <w:pPr>
        <w:spacing w:after="0" w:line="109" w:lineRule="exact"/>
        <w:rPr>
          <w:sz w:val="20"/>
          <w:szCs w:val="20"/>
          <w:color w:val="auto"/>
        </w:rPr>
      </w:pPr>
    </w:p>
    <w:p>
      <w:pPr>
        <w:ind w:left="700" w:right="500" w:firstLine="393"/>
        <w:spacing w:after="0" w:line="284" w:lineRule="auto"/>
        <w:rPr>
          <w:sz w:val="20"/>
          <w:szCs w:val="20"/>
          <w:color w:val="auto"/>
        </w:rPr>
      </w:pPr>
      <w:r>
        <w:rPr>
          <w:rFonts w:ascii="Times New Roman" w:cs="Times New Roman" w:eastAsia="Times New Roman" w:hAnsi="Times New Roman"/>
          <w:sz w:val="16"/>
          <w:szCs w:val="16"/>
          <w:color w:val="auto"/>
        </w:rPr>
        <w:t>Certain provisions of the PRC Insurance Law were revised at the 14th session of the 12th SCNPC on April 24, 2015. The examination and approval of the qualification of insurance brokerage practitioners have been canceled.</w:t>
      </w:r>
    </w:p>
    <w:p>
      <w:pPr>
        <w:spacing w:after="0" w:line="143"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Pursuant to the CIRC Notice on Relevant Issues Pertaining to Administration of Practitioners with Insurance Intermediaries, which was promulgated and became effective on August 3, 2015, before an insurance intermediary practitioner begins to practice, his/her company shall handle the practicing registration in the insurance intermediary regulatory information system of the CBIRC for him/her, and the qualification certificate shall not be served as necessary condition for administration of practicing registration.</w:t>
      </w:r>
    </w:p>
    <w:p>
      <w:pPr>
        <w:spacing w:after="0" w:line="161" w:lineRule="exact"/>
        <w:rPr>
          <w:sz w:val="20"/>
          <w:szCs w:val="20"/>
          <w:color w:val="auto"/>
        </w:rPr>
      </w:pPr>
    </w:p>
    <w:p>
      <w:pPr>
        <w:ind w:left="700" w:right="60" w:firstLine="393"/>
        <w:spacing w:after="0" w:line="256" w:lineRule="auto"/>
        <w:rPr>
          <w:sz w:val="20"/>
          <w:szCs w:val="20"/>
          <w:color w:val="auto"/>
        </w:rPr>
      </w:pPr>
      <w:r>
        <w:rPr>
          <w:rFonts w:ascii="Times New Roman" w:cs="Times New Roman" w:eastAsia="Times New Roman" w:hAnsi="Times New Roman"/>
          <w:sz w:val="16"/>
          <w:szCs w:val="16"/>
          <w:color w:val="auto"/>
        </w:rPr>
        <w:t>In 2019, the CBIRC has deployed and carried out the practice registration and audit work for the practitioners of insurance professional intermediaries. In order to improve the management of employees of insurance professional intermediaries. On May 12, 2020, the CBIRC enacted Notice of the General Office of the CBIRC on Strengthening the Management of Employees of Insurance Professional Intermediaries, which requires the insurance professional intermediaries to meet the following conditions: (i) fully assuming the responsibility of the management; (ii) strengthening the overall management of employees; (iii) strictly controlling the recruitment, training and integrity management of employees; and (iv) establishing a grading system of sales ability of employees. The CBIRC shall also strictly supervise the management of employees of insurance professional intermediaries and make insurance professional intermediaries accountable.</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Reward and Incentive</w:t>
      </w:r>
    </w:p>
    <w:p>
      <w:pPr>
        <w:spacing w:after="0" w:line="109" w:lineRule="exact"/>
        <w:rPr>
          <w:sz w:val="20"/>
          <w:szCs w:val="20"/>
          <w:color w:val="auto"/>
        </w:rPr>
      </w:pPr>
    </w:p>
    <w:p>
      <w:pPr>
        <w:ind w:left="700" w:right="20" w:firstLine="393"/>
        <w:spacing w:after="0" w:line="258" w:lineRule="auto"/>
        <w:rPr>
          <w:sz w:val="20"/>
          <w:szCs w:val="20"/>
          <w:color w:val="auto"/>
        </w:rPr>
      </w:pPr>
      <w:r>
        <w:rPr>
          <w:rFonts w:ascii="Times New Roman" w:cs="Times New Roman" w:eastAsia="Times New Roman" w:hAnsi="Times New Roman"/>
          <w:sz w:val="16"/>
          <w:szCs w:val="16"/>
          <w:color w:val="auto"/>
        </w:rPr>
        <w:t>Pursuant to the Notice on Strictly Regulating Incentive Measures of Insurance Intermediaries promulgated on November 15, 2010, by the CIRC, professional insurance intermediaries may only implement equity incentive measures for sales personnel of more than two consecutive years of practice experience within such intermediaries, and may not arbitrarily expand the scope of equity incentives for rapid business growth. In implementing incentives, professional insurance intermediaries may not conduct deceptive or misleading promotion for the incentive program, including exaggeration or arbitrarily promising uncertain earning from future listing; may not induce sales personnel to purchase self-insurance or purchase insurance with borrowings for incentives; may not offer client equity in name of incentive as consideration for illicit interests.</w:t>
      </w:r>
    </w:p>
    <w:p>
      <w:pPr>
        <w:spacing w:after="0" w:line="163" w:lineRule="exact"/>
        <w:rPr>
          <w:sz w:val="20"/>
          <w:szCs w:val="20"/>
          <w:color w:val="auto"/>
        </w:rPr>
      </w:pPr>
    </w:p>
    <w:p>
      <w:pPr>
        <w:ind w:left="700" w:right="40" w:firstLine="393"/>
        <w:spacing w:after="0" w:line="262" w:lineRule="auto"/>
        <w:rPr>
          <w:sz w:val="20"/>
          <w:szCs w:val="20"/>
          <w:color w:val="auto"/>
        </w:rPr>
      </w:pPr>
      <w:r>
        <w:rPr>
          <w:rFonts w:ascii="Times New Roman" w:cs="Times New Roman" w:eastAsia="Times New Roman" w:hAnsi="Times New Roman"/>
          <w:sz w:val="16"/>
          <w:szCs w:val="16"/>
          <w:color w:val="auto"/>
        </w:rPr>
        <w:t>According to the Circular on Further Regulating the Incentive Plans of Professional Insurance Intermediary Institutions, promulgated on February 28, 2012, by the CIRC, all professional insurance intermediary institutions shall not, by way of connecting the equity incentive plan with their listing and exaggerating proceeds brought by their listing and other means, induce any of the general public to become a salesperson, or induce salespersons or clients to buy insurance products which are inconsistent with their actual insurance needs.</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101</w:t>
      </w:r>
    </w:p>
    <w:p>
      <w:pPr>
        <w:sectPr>
          <w:pgSz w:w="11900" w:h="16838" w:orient="portrait"/>
          <w:cols w:equalWidth="0" w:num="1">
            <w:col w:w="10500"/>
          </w:cols>
          <w:pgMar w:left="320" w:top="447" w:right="10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Regulations on Mobile Internet</w:t>
      </w:r>
    </w:p>
    <w:p>
      <w:pPr>
        <w:spacing w:after="0" w:line="1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Internet Business</w:t>
      </w:r>
    </w:p>
    <w:p>
      <w:pPr>
        <w:spacing w:after="0" w:line="109"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Pursuant to the Administrative Measures for Internet Information Service released by the State Council on September 25, 2000, and amended on January 8, 2011, and the Administration Measures for Not-for-profit online Information Service Registration released on February 8, 2005, by the Ministry of Information Industry (currently known as the Ministry of Industry and Information Technology), and effective from March 20, 2005, Internet information service is classified into for-profit and not-for-profit categories. For-profit Internet information service refers to service activities of compensated provision to online users through the internet of information or website production. Not-for-profit Internet information service refers to service activities of non-compensated provision to online subscribers through the internet of information that is in the public domain and openly accessible. The national government has installed permit system for for-profit Internet information service and filing system for not-for-profit Internet information service. Not-for-profit Internet information service within the territory of the PRC should file for registration with telecommunication administration authority of the province in which it is located. Not-for-profit Internet information service provider should log onto the registration management system of the Ministry of Information Industry at designated time each year to go through the annual verification procedures.</w:t>
      </w: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Online Insurance Business</w:t>
      </w:r>
    </w:p>
    <w:p>
      <w:pPr>
        <w:spacing w:after="0" w:line="109" w:lineRule="exact"/>
        <w:rPr>
          <w:sz w:val="20"/>
          <w:szCs w:val="20"/>
          <w:color w:val="auto"/>
        </w:rPr>
      </w:pPr>
    </w:p>
    <w:p>
      <w:pPr>
        <w:ind w:left="700" w:right="520" w:firstLine="393"/>
        <w:spacing w:after="0" w:line="284" w:lineRule="auto"/>
        <w:rPr>
          <w:sz w:val="20"/>
          <w:szCs w:val="20"/>
          <w:color w:val="auto"/>
        </w:rPr>
      </w:pPr>
      <w:r>
        <w:rPr>
          <w:rFonts w:ascii="Times New Roman" w:cs="Times New Roman" w:eastAsia="Times New Roman" w:hAnsi="Times New Roman"/>
          <w:sz w:val="16"/>
          <w:szCs w:val="16"/>
          <w:color w:val="auto"/>
        </w:rPr>
        <w:t>In December 2020, Regulatory Measures for Online Insurance Business, or the Measures, was promulgated by the CBIRC, which sets the standards of services, business, operations and sale of online insurance.</w:t>
      </w:r>
    </w:p>
    <w:p>
      <w:pPr>
        <w:spacing w:after="0" w:line="143" w:lineRule="exact"/>
        <w:rPr>
          <w:sz w:val="20"/>
          <w:szCs w:val="20"/>
          <w:color w:val="auto"/>
        </w:rPr>
      </w:pPr>
    </w:p>
    <w:p>
      <w:pPr>
        <w:ind w:left="700" w:right="180" w:firstLine="393"/>
        <w:spacing w:after="0" w:line="255" w:lineRule="auto"/>
        <w:rPr>
          <w:sz w:val="20"/>
          <w:szCs w:val="20"/>
          <w:color w:val="auto"/>
        </w:rPr>
      </w:pPr>
      <w:r>
        <w:rPr>
          <w:rFonts w:ascii="Times New Roman" w:cs="Times New Roman" w:eastAsia="Times New Roman" w:hAnsi="Times New Roman"/>
          <w:sz w:val="16"/>
          <w:szCs w:val="16"/>
          <w:color w:val="auto"/>
        </w:rPr>
        <w:t>Pursuant to the Measures, insurance institutions that conduct internet insurance services shall, among other requirements: (i) locate the online insurance service access in the People’s Republic of China; (ii) set up the information management system and core business system to support the operation of online insurance business; (iii) establish solid network security monitoring, notification, emergency disposal, and network security protection methods; (iv) file the network security classification; (v) have IT systems equipped with insurance sales or insurance application functions that are certified as Safety Level III Computer Information Systems; (vi) establish legal and compliant marketing model and service system;</w:t>
      </w:r>
    </w:p>
    <w:p>
      <w:pPr>
        <w:spacing w:after="0" w:line="3" w:lineRule="exact"/>
        <w:rPr>
          <w:sz w:val="20"/>
          <w:szCs w:val="20"/>
          <w:color w:val="auto"/>
        </w:rPr>
      </w:pPr>
    </w:p>
    <w:p>
      <w:pPr>
        <w:ind w:left="700" w:right="140" w:firstLine="7"/>
        <w:spacing w:after="0" w:line="252" w:lineRule="auto"/>
        <w:tabs>
          <w:tab w:leader="none" w:pos="972"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online insurance business management department with corresponding professional staffs; and (vii) use professional insurance intermediaries that are national institutions. The Measures requires online insurance transactions to be conducted through online surfaces operated by insurance institutions only. An insurance institution that conducts online insurance business shall (i) build an official website, specifying specific information in a prominent position on its self-operated online platform for online insurance business operation, creating pages for transactions and displaying the details of internet insurance products according to the Measures and other relevant rules; (ii) sell internet insurance products or provide insurance brokerage and insurance loss adjustment services via its own self-operated online platform or via self-operated online platforms of other insurance institutions, and the insurance application page shall belong to its self-operated online platform. In addition, no insurance institution may, in internet insurance sales or brokerage activities, pay commission or labor remuneration directly or in a disguised way to any person who has not yet carried out practice registration with the institution.</w:t>
      </w:r>
    </w:p>
    <w:p>
      <w:pPr>
        <w:spacing w:after="0" w:line="173" w:lineRule="exact"/>
        <w:rPr>
          <w:sz w:val="20"/>
          <w:szCs w:val="20"/>
          <w:color w:val="auto"/>
        </w:rPr>
      </w:pPr>
    </w:p>
    <w:p>
      <w:pPr>
        <w:jc w:val="both"/>
        <w:ind w:left="700" w:right="260" w:firstLine="393"/>
        <w:spacing w:after="0" w:line="267" w:lineRule="auto"/>
        <w:rPr>
          <w:sz w:val="20"/>
          <w:szCs w:val="20"/>
          <w:color w:val="auto"/>
        </w:rPr>
      </w:pPr>
      <w:r>
        <w:rPr>
          <w:rFonts w:ascii="Times New Roman" w:cs="Times New Roman" w:eastAsia="Times New Roman" w:hAnsi="Times New Roman"/>
          <w:sz w:val="16"/>
          <w:szCs w:val="16"/>
          <w:color w:val="auto"/>
        </w:rPr>
        <w:t>Specifically, non-insurance institutions are allowed to conduct online insurance business, including but not limited to: (i) providing insurance product consulting services; (ii) comparing insurance products, (iii) conducting trial calculation of premium or quotation comparison; (iv) designing insurance application plans for policyholders; (v) going through insurance application procedures; and (v) collecting premiums.</w:t>
      </w: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Traceability Management of Internet Insurance Sales Behavior</w:t>
      </w:r>
    </w:p>
    <w:p>
      <w:pPr>
        <w:spacing w:after="0" w:line="109" w:lineRule="exact"/>
        <w:rPr>
          <w:sz w:val="20"/>
          <w:szCs w:val="20"/>
          <w:color w:val="auto"/>
        </w:rPr>
      </w:pPr>
    </w:p>
    <w:p>
      <w:pPr>
        <w:ind w:left="700" w:right="240" w:firstLine="393"/>
        <w:spacing w:after="0" w:line="267" w:lineRule="auto"/>
        <w:rPr>
          <w:sz w:val="20"/>
          <w:szCs w:val="20"/>
          <w:color w:val="auto"/>
        </w:rPr>
      </w:pPr>
      <w:r>
        <w:rPr>
          <w:rFonts w:ascii="Times New Roman" w:cs="Times New Roman" w:eastAsia="Times New Roman" w:hAnsi="Times New Roman"/>
          <w:sz w:val="16"/>
          <w:szCs w:val="16"/>
          <w:color w:val="auto"/>
        </w:rPr>
        <w:t>In order to standardize and strengthen the traceability management of Internet insurance sales, protect consumers’ basic rights and promote healthy development of online insurance business, the CBIRC promulgated the Notice of the CBIRC on Regulating the Traceability Management of Internet Insurance Sales on June 22, 2020, which came into effect on October 1, 2020.</w:t>
      </w:r>
    </w:p>
    <w:p>
      <w:pPr>
        <w:spacing w:after="0" w:line="157"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According to the Notice of the CBIRC on Regulating the Traceability Management of Internet Insurance Sales, insurance institutions are only allowed to sell commercial insurance products on their own online platform, and they shall implement retrospective management of Internet insurance sales. Insurance institutions shall record and keep operation track of each applicant and insured on the sales page. The operation track shall include the time whenever an applicant or insured click on, enter, fill in, or leave the sales page as well as any other relevant contents. Insurance institutions that are still unqualified after such Notice comes into force shall immediately suspend the relevant online insurance sales business.</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102</w:t>
      </w:r>
    </w:p>
    <w:p>
      <w:pPr>
        <w:sectPr>
          <w:pgSz w:w="11900" w:h="16838" w:orient="portrait"/>
          <w:cols w:equalWidth="0" w:num="1">
            <w:col w:w="10480"/>
          </w:cols>
          <w:pgMar w:left="320" w:top="447" w:right="10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Third Party Information Protection</w:t>
      </w:r>
    </w:p>
    <w:p>
      <w:pPr>
        <w:spacing w:after="0" w:line="109"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Protection Provisions on the Technical Measures for the Protection of the Security of the Internet promulgated by the Ministry of Public Security effective on March 1, 2006, provide initial requirements on supervising the security of Internet information. The providers of the Internet services and entity users of the network shall establish a corresponding management system. The information as registered by users shall not be publicized or divulged without the approval of the users, unless it is otherwise specified by any law or administrative regulation. The providers of the Internet services and entity users of the network shall adopt technical measures for the protection of the Internet security according to law and shall not take technical measures to injure the users’ freedom and confidentiality of communication under the pretext of protecting the security of the Internet.</w:t>
      </w:r>
    </w:p>
    <w:p>
      <w:pPr>
        <w:spacing w:after="0" w:line="163" w:lineRule="exact"/>
        <w:rPr>
          <w:sz w:val="20"/>
          <w:szCs w:val="20"/>
          <w:color w:val="auto"/>
        </w:rPr>
      </w:pPr>
    </w:p>
    <w:p>
      <w:pPr>
        <w:ind w:left="700" w:firstLine="393"/>
        <w:spacing w:after="0" w:line="267" w:lineRule="auto"/>
        <w:rPr>
          <w:sz w:val="20"/>
          <w:szCs w:val="20"/>
          <w:color w:val="auto"/>
        </w:rPr>
      </w:pPr>
      <w:r>
        <w:rPr>
          <w:rFonts w:ascii="Times New Roman" w:cs="Times New Roman" w:eastAsia="Times New Roman" w:hAnsi="Times New Roman"/>
          <w:sz w:val="16"/>
          <w:szCs w:val="16"/>
          <w:color w:val="auto"/>
        </w:rPr>
        <w:t>Decision on Strengthening Information Protection on Networks promulgated by the SCNPC on December 28, 2012, and effective on the same day provides basic principles for protecting electronic information by which individual citizens can be identified and which involves the individual privacy of citizens.</w:t>
      </w:r>
    </w:p>
    <w:p>
      <w:pPr>
        <w:spacing w:after="0" w:line="157" w:lineRule="exact"/>
        <w:rPr>
          <w:sz w:val="20"/>
          <w:szCs w:val="20"/>
          <w:color w:val="auto"/>
        </w:rPr>
      </w:pPr>
    </w:p>
    <w:p>
      <w:pPr>
        <w:ind w:left="700" w:right="60" w:firstLine="393"/>
        <w:spacing w:after="0" w:line="256" w:lineRule="auto"/>
        <w:rPr>
          <w:sz w:val="20"/>
          <w:szCs w:val="20"/>
          <w:color w:val="auto"/>
        </w:rPr>
      </w:pPr>
      <w:r>
        <w:rPr>
          <w:rFonts w:ascii="Times New Roman" w:cs="Times New Roman" w:eastAsia="Times New Roman" w:hAnsi="Times New Roman"/>
          <w:sz w:val="16"/>
          <w:szCs w:val="16"/>
          <w:color w:val="auto"/>
        </w:rPr>
        <w:t>Provisions on Protecting the Personal Information of Telecommunications and Internet Users promulgated by the Ministry of Industry and Information Technology, or the MIIT on July 16, 2013, and effective on September 1, 2013, further improve the personal information protection system of telecommunications and Internet industries and specify the scope and obligation subjects of personal information protection of telecommunications and Internet users, rules on collection and use of users’ personal information by telecommunications service operators and providers of Internet information services and agent management and information security guarantee measures. The providers of the Internet services and entity users of the network shall establish a corresponding administration system. The information as registered by users shall not be publicized or divulged without the approval of the users, unless as otherwise compelled by any law or administrative regulation.</w:t>
      </w:r>
    </w:p>
    <w:p>
      <w:pPr>
        <w:spacing w:after="0" w:line="169" w:lineRule="exact"/>
        <w:rPr>
          <w:sz w:val="20"/>
          <w:szCs w:val="20"/>
          <w:color w:val="auto"/>
        </w:rPr>
      </w:pPr>
    </w:p>
    <w:p>
      <w:pPr>
        <w:ind w:left="700" w:right="180" w:firstLine="393"/>
        <w:spacing w:after="0" w:line="262" w:lineRule="auto"/>
        <w:rPr>
          <w:sz w:val="20"/>
          <w:szCs w:val="20"/>
          <w:color w:val="auto"/>
        </w:rPr>
      </w:pPr>
      <w:r>
        <w:rPr>
          <w:rFonts w:ascii="Times New Roman" w:cs="Times New Roman" w:eastAsia="Times New Roman" w:hAnsi="Times New Roman"/>
          <w:sz w:val="16"/>
          <w:szCs w:val="16"/>
          <w:color w:val="auto"/>
        </w:rPr>
        <w:t>According to the Network Security Law of the PRC promulgated by the SCNPC on November 7, 2016, and effective on June 1, 2017, network service providers, in their business operation and provision of services, must observe laws and regulations and perform the obligation of ensuring network security, effectively respond to cybersecurity incidents, prevent illegal activities, and maintain the integrity, confidentiality and availability of network data.</w:t>
      </w:r>
    </w:p>
    <w:p>
      <w:pPr>
        <w:spacing w:after="0" w:line="161" w:lineRule="exact"/>
        <w:rPr>
          <w:sz w:val="20"/>
          <w:szCs w:val="20"/>
          <w:color w:val="auto"/>
        </w:rPr>
      </w:pPr>
    </w:p>
    <w:p>
      <w:pPr>
        <w:ind w:left="700" w:right="140" w:firstLine="393"/>
        <w:spacing w:after="0" w:line="258" w:lineRule="auto"/>
        <w:rPr>
          <w:sz w:val="20"/>
          <w:szCs w:val="20"/>
          <w:color w:val="auto"/>
        </w:rPr>
      </w:pPr>
      <w:r>
        <w:rPr>
          <w:rFonts w:ascii="Times New Roman" w:cs="Times New Roman" w:eastAsia="Times New Roman" w:hAnsi="Times New Roman"/>
          <w:sz w:val="16"/>
          <w:szCs w:val="16"/>
          <w:color w:val="auto"/>
        </w:rPr>
        <w:t>Pursuant to the Notice of CBIRC on Regulating the Traceability Management of Internet Insurance Sales, when insurance institutions carry out Internet insurance sales activities that can be traced back, they shall collect and use consumer information following the principle of legality, and shall not collect unrelated information. In addition, pursuant to the Notice, insurance institutions conduct online insurance business along with self-operated online platforms shall establish refined cybersecurity monitoring, information notification, emergency disposal working mechanisms as well as other protective means such as refined perimeter protection, intrusion detection, data protection and disaster recovery. The data and information for underwriting used by insurance institutions shall be legally sourced and used.</w:t>
      </w:r>
    </w:p>
    <w:p>
      <w:pPr>
        <w:spacing w:after="0" w:line="163" w:lineRule="exact"/>
        <w:rPr>
          <w:sz w:val="20"/>
          <w:szCs w:val="20"/>
          <w:color w:val="auto"/>
        </w:rPr>
      </w:pPr>
    </w:p>
    <w:p>
      <w:pPr>
        <w:ind w:left="700" w:right="60" w:firstLine="393"/>
        <w:spacing w:after="0" w:line="256" w:lineRule="auto"/>
        <w:rPr>
          <w:sz w:val="20"/>
          <w:szCs w:val="20"/>
          <w:color w:val="auto"/>
        </w:rPr>
      </w:pPr>
      <w:r>
        <w:rPr>
          <w:rFonts w:ascii="Times New Roman" w:cs="Times New Roman" w:eastAsia="Times New Roman" w:hAnsi="Times New Roman"/>
          <w:sz w:val="16"/>
          <w:szCs w:val="16"/>
          <w:color w:val="auto"/>
        </w:rPr>
        <w:t>According to the Notice on Further Regulating Matters Concerning Internet Personal Insurance Business issued by the CBIRC on October 12, 2021, insurance companies carrying out Internet personal insurance business shall establish and improve the business retracing mechanism. Insurance companies shall retrace online personal insurance business as required, pay close attention to key indicators such as loss ratio, incidence ratio, expense ratio, surrender ratio, and rate of return on investment, retrace the deviation between actual operating conditions and actuarial assumption, and take the initiative to adopt measures such as paying attention, adjustment and improvement, proactive reporting and information disclosure. The chief actuary of an insurance company shall be the person who is directly responsible for the retracing work of the Internet personal insurance business, and organize and implement the retracing work as required, to ensure that the data used are comprehensive and authentic, the calculation methods conform to the actuarial principle, and the rectification measures are timely and effective.</w:t>
      </w:r>
    </w:p>
    <w:p>
      <w:pPr>
        <w:spacing w:after="0" w:line="165" w:lineRule="exact"/>
        <w:rPr>
          <w:sz w:val="20"/>
          <w:szCs w:val="20"/>
          <w:color w:val="auto"/>
        </w:rPr>
      </w:pPr>
    </w:p>
    <w:p>
      <w:pPr>
        <w:ind w:left="700" w:right="380" w:firstLine="393"/>
        <w:spacing w:after="0" w:line="284" w:lineRule="auto"/>
        <w:rPr>
          <w:sz w:val="20"/>
          <w:szCs w:val="20"/>
          <w:color w:val="auto"/>
        </w:rPr>
      </w:pPr>
      <w:r>
        <w:rPr>
          <w:rFonts w:ascii="Times New Roman" w:cs="Times New Roman" w:eastAsia="Times New Roman" w:hAnsi="Times New Roman"/>
          <w:sz w:val="16"/>
          <w:szCs w:val="16"/>
          <w:color w:val="auto"/>
        </w:rPr>
        <w:t>According to the Insurance Brokerages Provisions, an insurance broker and its practitioners shall not disclose trade secrets of the insurer, the applicant and the insured known during the business activities.</w:t>
      </w:r>
    </w:p>
    <w:p>
      <w:pPr>
        <w:spacing w:after="0" w:line="143"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On December 26, 2022, the CBIRC promulgated the Administrative Measures for the Protection of Consumers’ Rights and Interests by banking and Insurance Institutions which became effective on March 1, 2023, standardizing the operational behavior of banking and insurance institutions and emphasizing the establishment of a long-term mechanism. From the perspective of behavior norms, the Measures comprehensively cover the eight basic rights of consumers. Banking and insurance institutions shall include the protection of consumers’ rights and interests in their strategies on corporate governance, corporate culture development and business development, establish and improve systems and mechanisms for the protection of consumers’ rights and interests, and implement the requirements for the protection of consumers’ rights and interests throughout all links of business process. Moreover, banking and insurance institutions shall establish and improve their working mechanisms for complaint handling, their internal assessment mechanism and a normalized and standardized internal audit mechanism for the protection of consumers’ rights and interests.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103</w:t>
      </w:r>
    </w:p>
    <w:p>
      <w:pPr>
        <w:sectPr>
          <w:pgSz w:w="11900" w:h="16838" w:orient="portrait"/>
          <w:cols w:equalWidth="0" w:num="1">
            <w:col w:w="10520"/>
          </w:cols>
          <w:pgMar w:left="320" w:top="447" w:right="10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Regulations on Mobile Internet Applications Information Services</w:t>
      </w:r>
    </w:p>
    <w:p>
      <w:pPr>
        <w:spacing w:after="0" w:line="109"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According to the Administrative Provisions on Mobile Internet Applications Information Services, which were promulgated by the Cyberspace Administration of China on June 28, 2016, became effective on August 1, and amended on June 14, 2022, with an effective date of August 1, 2022. App providers shall strictly fulfill their responsibilities of information security management, and perform the following duties: (i) conduct real identity information authentication based on mobile phone numbers, identity document numbers or unified social credit codes for users who apply for registration; (ii) be responsible for the results of the presentation of information content, shall not produce or disseminate illegal information, and shall consciously prevent and resist harmful information; (iii) not induce users to download Apps by means of false advertisement, bundled downloads, or other acts, or via machine or manual click farming and comment control, or by using illegal and harmful information; (iv) immediately take remedial measures, promptly notify users and report the same to the relevant competent authorities in accordance with regulations when an APP has risks such as security defects and vulnerabilities; (v) perform the obligation of ensuring data security, establish a sound whole-process data security management system, take technical measures to ensure data security and other security measures, strengthen risk monitoring, and shall not endanger national security or public interests, or damage the legitimate rights and interests of others when carrying out APP data processing activities; and (vi) formulate and disclose management rules, and sign service agreements with registered users to clarify the relevant rights and obligations of both parties.</w:t>
      </w:r>
    </w:p>
    <w:p>
      <w:pPr>
        <w:spacing w:after="0" w:line="2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Regulations on Information Security</w:t>
      </w:r>
    </w:p>
    <w:p>
      <w:pPr>
        <w:spacing w:after="0" w:line="109" w:lineRule="exact"/>
        <w:rPr>
          <w:sz w:val="20"/>
          <w:szCs w:val="20"/>
          <w:color w:val="auto"/>
        </w:rPr>
      </w:pPr>
    </w:p>
    <w:p>
      <w:pPr>
        <w:ind w:left="700" w:right="140" w:firstLine="393"/>
        <w:spacing w:after="0" w:line="258" w:lineRule="auto"/>
        <w:rPr>
          <w:sz w:val="20"/>
          <w:szCs w:val="20"/>
          <w:color w:val="auto"/>
        </w:rPr>
      </w:pPr>
      <w:r>
        <w:rPr>
          <w:rFonts w:ascii="Times New Roman" w:cs="Times New Roman" w:eastAsia="Times New Roman" w:hAnsi="Times New Roman"/>
          <w:sz w:val="16"/>
          <w:szCs w:val="16"/>
          <w:color w:val="auto"/>
        </w:rPr>
        <w:t>The National People’s Congress has enacted legislation that prohibits use of the internet that breaches the public security, disseminates socially destabilizing content or leaks state secrets. Breach of public security includes breach of national security and infringement on legal rights and interests of the state, society or citizens. Socially destabilizing content includes any content that incites defiance or violations of PRC laws or regulations or subversion of the PRC government or its political system, spreads socially disruptive rumors or involves cult activities, superstition, obscenities, pornography, gambling or violence. State secrets are defined broadly to include information concerning PRC national defense, state affairs and other matters as determined by the PRC authorities.</w:t>
      </w:r>
    </w:p>
    <w:p>
      <w:pPr>
        <w:spacing w:after="0" w:line="163" w:lineRule="exact"/>
        <w:rPr>
          <w:sz w:val="20"/>
          <w:szCs w:val="20"/>
          <w:color w:val="auto"/>
        </w:rPr>
      </w:pPr>
    </w:p>
    <w:p>
      <w:pPr>
        <w:ind w:left="700" w:right="160" w:firstLine="393"/>
        <w:spacing w:after="0" w:line="284" w:lineRule="auto"/>
        <w:rPr>
          <w:sz w:val="20"/>
          <w:szCs w:val="20"/>
          <w:color w:val="auto"/>
        </w:rPr>
      </w:pPr>
      <w:r>
        <w:rPr>
          <w:rFonts w:ascii="Times New Roman" w:cs="Times New Roman" w:eastAsia="Times New Roman" w:hAnsi="Times New Roman"/>
          <w:sz w:val="16"/>
          <w:szCs w:val="16"/>
          <w:color w:val="auto"/>
        </w:rPr>
        <w:t>Pursuant to applicable regulations, ICP operators must complete mandatory security filing procedures and regularly update information security and monitoring systems for their websites with local public security authorities, and must also report any public dissemination of prohibited content.</w:t>
      </w:r>
    </w:p>
    <w:p>
      <w:pPr>
        <w:spacing w:after="0" w:line="143" w:lineRule="exact"/>
        <w:rPr>
          <w:sz w:val="20"/>
          <w:szCs w:val="20"/>
          <w:color w:val="auto"/>
        </w:rPr>
      </w:pPr>
    </w:p>
    <w:p>
      <w:pPr>
        <w:ind w:left="700" w:right="180" w:firstLine="393"/>
        <w:spacing w:after="0" w:line="273" w:lineRule="auto"/>
        <w:rPr>
          <w:sz w:val="20"/>
          <w:szCs w:val="20"/>
          <w:color w:val="auto"/>
        </w:rPr>
      </w:pPr>
      <w:r>
        <w:rPr>
          <w:rFonts w:ascii="Times New Roman" w:cs="Times New Roman" w:eastAsia="Times New Roman" w:hAnsi="Times New Roman"/>
          <w:sz w:val="15"/>
          <w:szCs w:val="15"/>
          <w:color w:val="auto"/>
        </w:rPr>
        <w:t>In December 2015, the Standing Committee of the National People’s Congress promulgated the Anti-Terrorism Law of the PRC, or the Anti-Terrorism Law, which took effect on January 1, 2016, and was amended on April 27, 2018. According to the Anti-Terrorism Law, telecommunication service operators or internet service providers shall (i) carry out pertinent anti-terrorism publicity and education to society; (ii) provide technical interfaces, decryption and other technical support and assistance for the competent departments to prevent and investigate terrorist activities;</w:t>
      </w:r>
    </w:p>
    <w:p>
      <w:pPr>
        <w:spacing w:after="0" w:line="3" w:lineRule="exact"/>
        <w:rPr>
          <w:sz w:val="20"/>
          <w:szCs w:val="20"/>
          <w:color w:val="auto"/>
        </w:rPr>
      </w:pPr>
    </w:p>
    <w:p>
      <w:pPr>
        <w:ind w:left="700" w:right="80" w:firstLine="7"/>
        <w:spacing w:after="0" w:line="255" w:lineRule="auto"/>
        <w:tabs>
          <w:tab w:leader="none" w:pos="98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 network security and information monitoring systems as well as safety and technical prevention measures to avoid the dissemination of terrorism information, delete the terrorism information, immediately halt its dissemination, keep relevant records and report to the competent departments once the terrorism information is discovered; and (iv) examine customer identities before providing services. Any violation of the Anti-Terrorism Law may result in severe penalties, including substantial fines.</w:t>
      </w:r>
    </w:p>
    <w:p>
      <w:pPr>
        <w:spacing w:after="0" w:line="166" w:lineRule="exact"/>
        <w:rPr>
          <w:sz w:val="20"/>
          <w:szCs w:val="20"/>
          <w:color w:val="auto"/>
        </w:rPr>
      </w:pPr>
    </w:p>
    <w:p>
      <w:pPr>
        <w:ind w:left="700" w:right="80" w:firstLine="393"/>
        <w:spacing w:after="0" w:line="259" w:lineRule="auto"/>
        <w:rPr>
          <w:sz w:val="20"/>
          <w:szCs w:val="20"/>
          <w:color w:val="auto"/>
        </w:rPr>
      </w:pPr>
      <w:r>
        <w:rPr>
          <w:rFonts w:ascii="Times New Roman" w:cs="Times New Roman" w:eastAsia="Times New Roman" w:hAnsi="Times New Roman"/>
          <w:sz w:val="16"/>
          <w:szCs w:val="16"/>
          <w:color w:val="auto"/>
        </w:rPr>
        <w:t>In November 2016, the Standing Committee of the National People’s Congress promulgated the Cyber Security Law of the PRC, or the Cyber Security Law, which took effect on June 1, 2017. In accordance with the Cyber Security Law, network operators must comply with applicable laws and regulations and fulfill their obligations to safeguard network security in conducting business and providing services. Network service providers must take technical and other necessary measures as required by laws, regulations and mandatory requirements to safeguard the operation of networks, respond to network security effectively, prevent illegal and criminal activities, and maintain the integrity, confidentiality and usability of network data.</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104</w:t>
      </w:r>
    </w:p>
    <w:p>
      <w:pPr>
        <w:sectPr>
          <w:pgSz w:w="11900" w:h="16838" w:orient="portrait"/>
          <w:cols w:equalWidth="0" w:num="1">
            <w:col w:w="10500"/>
          </w:cols>
          <w:pgMar w:left="320" w:top="447" w:right="10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53" w:lineRule="auto"/>
        <w:rPr>
          <w:sz w:val="20"/>
          <w:szCs w:val="20"/>
          <w:color w:val="auto"/>
        </w:rPr>
      </w:pPr>
      <w:r>
        <w:rPr>
          <w:rFonts w:ascii="Times New Roman" w:cs="Times New Roman" w:eastAsia="Times New Roman" w:hAnsi="Times New Roman"/>
          <w:sz w:val="16"/>
          <w:szCs w:val="16"/>
          <w:color w:val="auto"/>
        </w:rPr>
        <w:t xml:space="preserve">For the further purposes of regulating data processing activities, safeguarding data security, promoting data development and utilization, protecting the lawful rights and interests of individuals and organizations, and maintaining national sovereignty, security, and development interests, on June 10, 2021, Standing Committee of the PRC National People’s Congress published the Data Security Law of the People’s Republic of China, which took effect on September 1, 2021. The Data Security Law requires data processing, which includes the collection, storage, use, processing, transmission, provision, publication of data, to be conducted in a legitimate and proper manner. The Data Security Law provides for data security and privacy obligations on entities and individuals carrying out data activities. The Data Security Law also introduces a data classification and hierarchical protection system based on the importance of data in economic and social development, and the degree of harm it may cause to national security, public interests, or legitimate rights and interests of individuals or organizations if such data are tampered with, destroyed, leaked, illegally acquired or illegally used. The appropriate level of protection measures is required to be taken for each respective category of data. For example, a processor of important data is required to designate the personnel and the management body responsible for data security, carry out risk assessments of its data processing activities and file the risk assessment reports with the competent authorities. State core data,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data having a bearing on national security, the lifelines of national economy, people’s key livelihood and major public interests, shall be subject to stricter management system. Moreover, the Data Security Law provides a national security review procedure for those data activities which affect or may affect national security and imposes export restrictions on certain data and information. In addition, the Data Security Law also provides that any organization or individual within the territory of the PRC shall not provide any foreign judicial body and law enforcement body with any data without the approval of the competent PRC governmental authorities. As the Data Security Law was recently promulgated and has not yet taken effect, we may be required to make further adjustments to our business practices to comply with this law, as well as any adjustments that may be required by the ultimate Personal Information Protection Law.</w:t>
      </w:r>
    </w:p>
    <w:p>
      <w:pPr>
        <w:spacing w:after="0" w:line="173"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On July 6, 2021, certain PRC regulatory authorities issued Opinions on Strictly Cracking Down on Illegal Securities Activities, which, among others, provides for improving relevant laws and regulations on data security, cross-border data transmission, and confidential information management. It provided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w:t>
      </w:r>
    </w:p>
    <w:p>
      <w:pPr>
        <w:spacing w:after="0" w:line="164"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On December 28, 2021, the Cyberspace Administration of China, or the CAC, and 12 other governmental authorities jointly issued the Measures for Cybersecurity Review, or the Measures, which became effective on February 15, 2022. The relevant operators shall apply with the Cybersecurity Review Office of CAC for a cybersecurity review under the following circumstances: (i) internet platform operators holding over one million individuals’ personal information pursuing a foreign listing, (ii) operators of “critical information infrastructure” that intend to purchase internet products and services that will or may affect national security, and (iii) internet platform operators carrying out data processing that affect or may affect national security. Besides, the Measures also provides that if the relevant authorities consider that certain network products and services, data processing activities and listings in foreign countries affect or may affect national security, the authorities may initiate a cybersecurity review even if the operators do not have an obligation to report for a cybersecurity review under such circumstances. The Measures also elaborated the factors to be considered when assessing the national security risks of the relevant activities, including among others, risks of core data, important data or a large amount of personal information being stolen, leaked, destroyed, and illegally used or exited the country and risks of critical information infrastructure, core data, important data or a large amount of personal information data being affected, controlled and maliciously used by foreign governments after a foreign listing.</w:t>
      </w:r>
    </w:p>
    <w:p>
      <w:pPr>
        <w:spacing w:after="0" w:line="172" w:lineRule="exact"/>
        <w:rPr>
          <w:sz w:val="20"/>
          <w:szCs w:val="20"/>
          <w:color w:val="auto"/>
        </w:rPr>
      </w:pPr>
    </w:p>
    <w:p>
      <w:pPr>
        <w:ind w:left="700" w:right="100" w:firstLine="393"/>
        <w:spacing w:after="0" w:line="255" w:lineRule="auto"/>
        <w:rPr>
          <w:sz w:val="20"/>
          <w:szCs w:val="20"/>
          <w:color w:val="auto"/>
        </w:rPr>
      </w:pPr>
      <w:r>
        <w:rPr>
          <w:rFonts w:ascii="Times New Roman" w:cs="Times New Roman" w:eastAsia="Times New Roman" w:hAnsi="Times New Roman"/>
          <w:sz w:val="16"/>
          <w:szCs w:val="16"/>
          <w:color w:val="auto"/>
        </w:rPr>
        <w:t>On November 14, 2021, the CAC released the Regulations on the Network Data Security (Draft for Comments), or the Draft Regulations, and were open for public comments until December 13, 2021. The Draft Regulations provide that data processors refer to individuals or organizations that autonomously determine the purpose and the manner of processing data. In accordance with the Draft Regulations, data processors shall apply for a cybersecurity review for the following activities: (i) merger, reorganization or division of Internet platform operators that have acquired a large number of data resources related to national security, economic development or public interests to the extent that affects or may affect national security;</w:t>
      </w:r>
    </w:p>
    <w:p>
      <w:pPr>
        <w:spacing w:after="0" w:line="3" w:lineRule="exact"/>
        <w:rPr>
          <w:sz w:val="20"/>
          <w:szCs w:val="20"/>
          <w:color w:val="auto"/>
        </w:rPr>
      </w:pPr>
    </w:p>
    <w:p>
      <w:pPr>
        <w:jc w:val="both"/>
        <w:ind w:left="700" w:right="80" w:firstLine="7"/>
        <w:spacing w:after="0" w:line="257" w:lineRule="auto"/>
        <w:tabs>
          <w:tab w:leader="none" w:pos="936"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listing abroad of data processors which process over one million users’ personal information; (iii) listing in Hong Kong which affects or may affect national security; or (iv) other data processing activities that affect or may affect national security. Besides, data processors that are listed overseas shall carry out an annual data security assessment.</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105</w:t>
      </w:r>
    </w:p>
    <w:p>
      <w:pPr>
        <w:sectPr>
          <w:pgSz w:w="11900" w:h="16838" w:orient="portrait"/>
          <w:cols w:equalWidth="0" w:num="1">
            <w:col w:w="10520"/>
          </w:cols>
          <w:pgMar w:left="320" w:top="447" w:right="10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20" w:firstLine="393"/>
        <w:spacing w:after="0" w:line="254" w:lineRule="auto"/>
        <w:rPr>
          <w:sz w:val="20"/>
          <w:szCs w:val="20"/>
          <w:color w:val="auto"/>
        </w:rPr>
      </w:pPr>
      <w:r>
        <w:rPr>
          <w:rFonts w:ascii="Times New Roman" w:cs="Times New Roman" w:eastAsia="Times New Roman" w:hAnsi="Times New Roman"/>
          <w:sz w:val="16"/>
          <w:szCs w:val="16"/>
          <w:color w:val="auto"/>
        </w:rPr>
        <w:t>On July 30, 2021, the State Council issued the Regulations on Protection of Critical Information Infrastructure, or the Regulations. Pursuant to the Regulations, critical information infrastructure shall mean the important network facilities or information systems of key industries or fields such as public communication and information service, energy, transportation, water conservation, finance, public services, e-government affairs and national defense science, and important network facilities or information systems which may endanger national security, people’s livelihood and public interest once there occur damage, malfunctioning or data leakage to them. The Regulations provide that no individual or organization may carry out any illegal activity of intruding into, interfering with, or sabotaging any critical information infrastructures, or endanger the security of any critical information infrastructures. The Regulations also require that critical information infrastructure operators shall establish a cybersecurity protection system and accountability system, and that the main responsible person of a critical information infrastructure operator shall take full responsibility for the security protection of the critical information infrastructures operated by it. In addition, relevant administration departments of each important industry and sector shall be responsible for formulating the rule of critical information infrastructure determination applicable to their respective industry or sector, and determine the critical information infrastructure operators in their industry or sector.</w:t>
      </w:r>
    </w:p>
    <w:p>
      <w:pPr>
        <w:spacing w:after="0" w:line="172"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On July 12, 2021, the MIIT and two other authorities jointly issued the Provisions on the Administration of Security Vulnerabilities of Network Products, or the Provisions. The Provisions state that, no organization or individual may abuse the security vulnerabilities of network products to engage in activities that endanger network security, or to illegally collect, sell, or publish the information on such security vulnerabilities. Anyone who is aware of the aforesaid offenses shall not provide technical support, advertising, payment settlement and other assistance to the relevant offenders. According to the Provisions, network product providers, network operators, and platforms collecting network product security vulnerabilities shall establish and improve channels for receiving network product security vulnerability information and keep such channels available, and retain network product security vulnerability information reception logs for at least six months. The Provisions also bans provision of undisclosed vulnerabilities to overseas organizations or individuals other than to the product providers.</w:t>
      </w:r>
    </w:p>
    <w:p>
      <w:pPr>
        <w:spacing w:after="0" w:line="165"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On December 31, 2021, the CAC and three other governmental authorities jointly published the Administrative Provisions on Internet Information Service Algorithm Recommendation, or the Algorithm Recommendation Provisions, which became effective on March 1, 2022. The Algorithm Recommendation Provisions implements classification and hierarchical management for algorithm recommendation service providers based on varies criteria, and stipulates, among others, that algorithm recommendation service providers with public opinion attributes or social mobilization capabilities shall file with the CAC within ten business days from the date of providing such services.</w:t>
      </w:r>
    </w:p>
    <w:p>
      <w:pPr>
        <w:spacing w:after="0" w:line="164"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On July 7, 2022, the CAC promulgated the Measures for the Security Assessment of Data Cross-border Transfer which became effective on September 1, 2022. The measures requires that any data processor who processes or exports personal information exceeding a certain volume threshold pursuant to the measures shall, through the local cyberspace administration at the provincial level, apply for a security assessment by the CAC before transferring any personal information abroad, including the following circumstances: (i) important data will be provided overseas by any data processor;</w:t>
      </w:r>
    </w:p>
    <w:p>
      <w:pPr>
        <w:spacing w:after="0" w:line="3" w:lineRule="exact"/>
        <w:rPr>
          <w:sz w:val="20"/>
          <w:szCs w:val="20"/>
          <w:color w:val="auto"/>
        </w:rPr>
      </w:pPr>
    </w:p>
    <w:p>
      <w:pPr>
        <w:ind w:left="700" w:firstLine="7"/>
        <w:spacing w:after="0" w:line="253" w:lineRule="auto"/>
        <w:tabs>
          <w:tab w:leader="none" w:pos="936"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personal information will be provided overseas by any operator of critical information infrastructure or any data processor who processes the personal information of more than 1,000,000 individuals; (iii) personal information will be provided overseas by any data processor who has provided the personal information of more than 100,000 individuals in aggregate or has provided the sensitive personal information of more than 10,000 individuals in aggregate since January 1 of last year; and (iv) other circumstances where the security assessment is required as prescribed by the CAC. A data processor shall, before applying for the security assessment of an outbound data transfer, conduct a self-assessment of the risks involved in the outbound data transfer. The security assessment of a cross-border data transfer shall focus on assessing the risks that may be brought about by the cross-border data transfer concerning national security, public interests, or the lawful rights and interests of individuals or organizations.</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106</w:t>
      </w:r>
    </w:p>
    <w:p>
      <w:pPr>
        <w:sectPr>
          <w:pgSz w:w="11900" w:h="16838" w:orient="portrait"/>
          <w:cols w:equalWidth="0" w:num="1">
            <w:col w:w="10520"/>
          </w:cols>
          <w:pgMar w:left="320" w:top="447" w:right="10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80" w:firstLine="393"/>
        <w:spacing w:after="0" w:line="256" w:lineRule="auto"/>
        <w:rPr>
          <w:sz w:val="20"/>
          <w:szCs w:val="20"/>
          <w:color w:val="auto"/>
        </w:rPr>
      </w:pPr>
      <w:r>
        <w:rPr>
          <w:rFonts w:ascii="Times New Roman" w:cs="Times New Roman" w:eastAsia="Times New Roman" w:hAnsi="Times New Roman"/>
          <w:sz w:val="16"/>
          <w:szCs w:val="16"/>
          <w:color w:val="auto"/>
        </w:rPr>
        <w:t>On August 20, 2021, the Standing Committee of the National People’s Congress of China promulgated the Personal Information Protection Law, which integrates the scattered rules with respect to personal information rights and privacy protection and took effect on November 1, 2021. The Personal Information Protection Law requires, among others, that (i) the processing of personal information should have a clear and reasonable purpose which should be directly related to the processing purpose and should be conducted in a method that has the minimum impact on personal rights and interests, and (ii) the collection of personal information should be limited to the minimum scope as necessary to achieve the processing purpose and avoid the excessive collection of personal information. Personal information processors shall adopt necessary measures to safeguard the security of the personal information they handle. The offending entities could be ordered to correct, or to suspend or terminate the provision of services, and face confiscation of illegal income, fines or other penalties.</w:t>
      </w:r>
    </w:p>
    <w:p>
      <w:pPr>
        <w:spacing w:after="0" w:line="165" w:lineRule="exact"/>
        <w:rPr>
          <w:sz w:val="20"/>
          <w:szCs w:val="20"/>
          <w:color w:val="auto"/>
        </w:rPr>
      </w:pPr>
    </w:p>
    <w:p>
      <w:pPr>
        <w:ind w:left="700" w:firstLine="393"/>
        <w:spacing w:after="0" w:line="267" w:lineRule="auto"/>
        <w:rPr>
          <w:sz w:val="20"/>
          <w:szCs w:val="20"/>
          <w:color w:val="auto"/>
        </w:rPr>
      </w:pPr>
      <w:r>
        <w:rPr>
          <w:rFonts w:ascii="Times New Roman" w:cs="Times New Roman" w:eastAsia="Times New Roman" w:hAnsi="Times New Roman"/>
          <w:sz w:val="16"/>
          <w:szCs w:val="16"/>
          <w:color w:val="auto"/>
        </w:rPr>
        <w:t>In addition, the State Secrecy Bureau has issued provisions authorizing the blocking of access to any website it deems to be leaking state secrets or failing to comply with the relevant legislation regarding the protection of state secrets during online information distribution. Specifically, internet companies in the PRC with bulletin boards, chat rooms or similar services must apply for specific approval prior to operating such services.</w:t>
      </w:r>
    </w:p>
    <w:p>
      <w:pPr>
        <w:spacing w:after="0" w:line="157" w:lineRule="exact"/>
        <w:rPr>
          <w:sz w:val="20"/>
          <w:szCs w:val="20"/>
          <w:color w:val="auto"/>
        </w:rPr>
      </w:pPr>
    </w:p>
    <w:p>
      <w:pPr>
        <w:ind w:left="700" w:right="40" w:firstLine="393"/>
        <w:spacing w:after="0" w:line="256" w:lineRule="auto"/>
        <w:rPr>
          <w:sz w:val="20"/>
          <w:szCs w:val="20"/>
          <w:color w:val="auto"/>
        </w:rPr>
      </w:pPr>
      <w:r>
        <w:rPr>
          <w:rFonts w:ascii="Times New Roman" w:cs="Times New Roman" w:eastAsia="Times New Roman" w:hAnsi="Times New Roman"/>
          <w:sz w:val="16"/>
          <w:szCs w:val="16"/>
          <w:color w:val="auto"/>
        </w:rPr>
        <w:t>Furthermore, the Provisions on Technological Measures for Internet Security Protection, promulgated by the Ministry of Public Security and became effective in March 2006, require all ICP operators to keep records of certain information about its users (including user registration information, log-in and log-out time, IP address, content and time of posts by users) for at least 60 days and submit the above information as required by laws and regulations. The Decision on Strengthening Network Information Protection, or the Network Information Protection Decision, which was promulgated by the PRC National People’s Congress in December 2012, states that ICP operators must request identity information from users when ICP operators provide information publication services to the users. If ICP operators come across prohibited information, they must immediately cease the transmission of such information, delete the information, keep relevant records, and report to relevant government authorities.</w:t>
      </w:r>
    </w:p>
    <w:p>
      <w:pPr>
        <w:spacing w:after="0" w:line="169" w:lineRule="exact"/>
        <w:rPr>
          <w:sz w:val="20"/>
          <w:szCs w:val="20"/>
          <w:color w:val="auto"/>
        </w:rPr>
      </w:pPr>
    </w:p>
    <w:p>
      <w:pPr>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On October 21, 2019, the Supreme People’s Court and the Supreme People’s Procuratorate of the PRC jointly issued the Interpretations on Certain Issues Regarding the Applicable of Law in the Handling of Criminal Case Involving Illegal Use of Information Networks and Assisting Committing Internet Crimes, which came into effect on November 1, 2019, and further clarifies the meaning of Internet service provider and the severe situations of the relevant crimes.</w:t>
      </w:r>
    </w:p>
    <w:p>
      <w:pPr>
        <w:spacing w:after="0" w:line="2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Regulations on Internet Privacy</w:t>
      </w:r>
    </w:p>
    <w:p>
      <w:pPr>
        <w:spacing w:after="0" w:line="109" w:lineRule="exact"/>
        <w:rPr>
          <w:sz w:val="20"/>
          <w:szCs w:val="20"/>
          <w:color w:val="auto"/>
        </w:rPr>
      </w:pPr>
    </w:p>
    <w:p>
      <w:pPr>
        <w:ind w:left="700" w:right="20" w:firstLine="393"/>
        <w:spacing w:after="0" w:line="253" w:lineRule="auto"/>
        <w:rPr>
          <w:sz w:val="20"/>
          <w:szCs w:val="20"/>
          <w:color w:val="auto"/>
        </w:rPr>
      </w:pPr>
      <w:r>
        <w:rPr>
          <w:rFonts w:ascii="Times New Roman" w:cs="Times New Roman" w:eastAsia="Times New Roman" w:hAnsi="Times New Roman"/>
          <w:sz w:val="16"/>
          <w:szCs w:val="16"/>
          <w:color w:val="auto"/>
        </w:rPr>
        <w:t>The PRC Constitution states that PRC law protects the freedom and privacy of communications of citizens and prohibits infringement of these rights. In recent years, PRC government authorities have enacted legislation on internet use to protect personal information from any unauthorized disclosure. The Network Information Protection Decision provides that electronic information that identifies a citizen or involves privacy of any citizen is protected by law and must not be unlawfully collected or provided to others. ICP operators collecting or using personal electronic information of citizens must specify the purposes, manners and scopes of information collection and uses, obtain consent of the relevant citizens, and keep the collected personal information confidential. ICP operators are prohibited from disclosing, tampering with, damaging, selling or illegally providing others with, collected personal information. ICP operators are required to take technical and other measures to prevent the collected personal information from any unauthorized disclosure, damage or loss. The Administrative Measures on Internet Information Services prohibit an ICP operator from insulting or slandering a third party or infringing upon the lawful rights and interests of a third party. According to the Provisions on Protection of Personal Information of Telecommunication and Internet Users, which was promulgated by MIIT and became effective in September 2013, telecommunication business operators and ICP operators are responsible for the security of the personal information of users they collect or use in the course of their provision of services. Without obtaining the consent from the users, telecommunication business operators and ICP operators may not collect or use the users’ personal information. The personal information collected or used in the course of provision of services by the telecommunication business operators or ICP operators must be kept in strict confidence, and may not be divulged, tampered with or damaged, and may not be sold or illegally provided to others. The ICP operators are required to take certain measures to prevent any divulgence of, damage to, tampering with or loss of users’ personal information. In accordance with the Cyber Security Law, network operators are required to collect and use personal information in compliance with the principles of legitimacy, properness and necessity, and strictly within the scope of authorization by the subject of personal information unless otherwise prescribed by laws or regulations. In the event of any unauthorized disclosure, damage or loss of collected personal information, network operators must take immediate remedial measures, notify the affected users and report the incidents to the relevant authorities in a timely manner. If any user knows that a network operator illegally collects and uses his or her personal information in violation of laws, regulations or any agreement with the user, or the collected and stored personal information is inaccurate or wrong, the user has the right to request the network operator to delete or correct the relevant collected personal information.</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107</w:t>
      </w:r>
    </w:p>
    <w:p>
      <w:pPr>
        <w:sectPr>
          <w:pgSz w:w="11900" w:h="16838" w:orient="portrait"/>
          <w:cols w:equalWidth="0" w:num="1">
            <w:col w:w="10540"/>
          </w:cols>
          <w:pgMar w:left="320" w:top="447" w:right="10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20" w:firstLine="393"/>
        <w:spacing w:after="0" w:line="253" w:lineRule="auto"/>
        <w:rPr>
          <w:sz w:val="20"/>
          <w:szCs w:val="20"/>
          <w:color w:val="auto"/>
        </w:rPr>
      </w:pPr>
      <w:r>
        <w:rPr>
          <w:rFonts w:ascii="Times New Roman" w:cs="Times New Roman" w:eastAsia="Times New Roman" w:hAnsi="Times New Roman"/>
          <w:sz w:val="16"/>
          <w:szCs w:val="16"/>
          <w:color w:val="auto"/>
        </w:rPr>
        <w:t>The relevant telecommunications authorities are further authorized to order ICP operators to rectify unauthorized disclosure. ICP operators are subject to legal liability, including warnings, fines, confiscation of illegal gains, revocation of licenses or filings, closing of the relevant websites, administrative punishment, criminal liabilities, or civil liabilities, if they violate relevant provisions on internet privacy. Pursuant to the Ninth Amendment to the Criminal Law issued by the Standing Committee of the National People’s Congress in August 2015 and becoming effective in November 2015, the standards of crime of infringing citizens’ personal information were amended accordingly and the criminal culpability of unlawful collection, transaction, and provision of personal information has been reinforced. In addition, any ICP provider that fails to fulfill the obligations related to internet information security administration as required by applicable laws and refuses to rectify upon orders, will be subject to criminal liability for (i) any dissemination of illegal information in large scale; (ii) any severe effect due to the leakage of the client’s information; (iii) any serious loss of evidence of criminal activities; or (iv) other severe situations, and any individual or entity that (x) sells or provides personal information to others unlawfully, or (y) steals or illegally obtains any personal information, will be subject to criminal liability in severe situations. In addition, the Interpretations of the Supreme People’s Court and the Supreme People’s Procuratorate of the PRC on Several Issues Concerning the Application of Law in Handling Criminal Cases of Infringing Personal Information, effective in June 2017, have clarified certain standards for the conviction and sentencing in relation to personal information infringement. The PRC government has the power and authority to order ICP operators to turn over personal information if an internet user posts any prohibited content or engages in illegal activities on the internet. The Civil Code further provides in a stand-alone chapter of right of personality and reiterate that the personal information of a natural person shall be protected by the law. Any organization or individual shall legitimately obtain such personal information of others in due course on a need-to-know basis and ensure the safety and privacy of such information, and refrain from excessively handling or using such information.</w:t>
      </w:r>
    </w:p>
    <w:p>
      <w:pPr>
        <w:spacing w:after="0" w:line="173" w:lineRule="exact"/>
        <w:rPr>
          <w:sz w:val="20"/>
          <w:szCs w:val="20"/>
          <w:color w:val="auto"/>
        </w:rPr>
      </w:pPr>
    </w:p>
    <w:p>
      <w:pPr>
        <w:ind w:left="700" w:right="40" w:firstLine="393"/>
        <w:spacing w:after="0" w:line="252" w:lineRule="auto"/>
        <w:rPr>
          <w:sz w:val="20"/>
          <w:szCs w:val="20"/>
          <w:color w:val="auto"/>
        </w:rPr>
      </w:pPr>
      <w:r>
        <w:rPr>
          <w:rFonts w:ascii="Times New Roman" w:cs="Times New Roman" w:eastAsia="Times New Roman" w:hAnsi="Times New Roman"/>
          <w:sz w:val="16"/>
          <w:szCs w:val="16"/>
          <w:color w:val="auto"/>
        </w:rPr>
        <w:t>With respect to the security of information collected and used by mobile apps, pursuant to the Announcement of Conducting Special Supervision against the Illegal Collection and Use of Personal Information by Apps, which was issued on January 23, 2019, app operators should collect and use personal information in compliance with the Cyber Security Law and should be responsible for the security of personal information obtained from users and take effective measures to strengthen the personal information protection. Furthermore, app operators should not force their users to make authorization by means of bundling, suspending installation or in other default forms and should not collect personal information in violation of laws, regulations or breach of user agreements. Such regulatory requirements were emphasized by the Notice on the Special Rectification of Apps Infringing upon User’s Personal Rights and Interests, which was issued by MIIT on October 31, 2019. On November 28, 2019, the CAC, the MIIT, the Ministry of Public Security and the SAMR jointly issued the Methods of Identifying Illegal Acts of Apps to Collect and Use Personal Information. This regulation further illustrates certain commonly seen illegal practices of apps operators in terms of personal information protection, including “failure to publicize rules for collecting and using personal information,” “failure to expressly state the purpose, manner and scope of collecting and using personal information,” “collection and use of personal information without consent of users of such App,” “collecting personal information irrelevant to the services provided by such app in violation of the principle of necessity,” “provision of personal information to others without users’ consent,” “failure to provide the function of deleting or correcting personal information as required by laws” and “failure to publish information such as methods for complaints and reporting.” Among others, any of the following acts of an app operator will constitute “collection and use of personal information without consent of users”: (i) collecting an user’s personal information or activating the permission for collecting any user’s personal information without obtaining such user’s consent; (ii) collecting personal information or activating the permission for collecting the personal information of any user who explicitly refuses such collection, or repeatedly seeking for user’s consent such that the user’s normal use of such app is disturbed; (iii) any user’s personal information which has been actually collected by the app operator or the permission for collecting any user’s personal information activated by the app operator is beyond the scope of personal information which such user authorizes such app operator to collect; (iv) seeking for any user’s consent in a non-explicit manner; (v) modifying any user’s settings for activating the permission for collecting any personal information without such user’s consent; (vi) using users’ personal information and any algorithms to directionally push any information, without providing the option</w:t>
      </w:r>
    </w:p>
    <w:p>
      <w:pPr>
        <w:spacing w:after="0" w:line="8" w:lineRule="exact"/>
        <w:rPr>
          <w:sz w:val="20"/>
          <w:szCs w:val="20"/>
          <w:color w:val="auto"/>
        </w:rPr>
      </w:pPr>
    </w:p>
    <w:p>
      <w:pPr>
        <w:ind w:left="700"/>
        <w:spacing w:after="0" w:line="255" w:lineRule="auto"/>
        <w:rPr>
          <w:sz w:val="20"/>
          <w:szCs w:val="20"/>
          <w:color w:val="auto"/>
        </w:rPr>
      </w:pPr>
      <w:r>
        <w:rPr>
          <w:rFonts w:ascii="Times New Roman" w:cs="Times New Roman" w:eastAsia="Times New Roman" w:hAnsi="Times New Roman"/>
          <w:sz w:val="16"/>
          <w:szCs w:val="16"/>
          <w:color w:val="auto"/>
        </w:rPr>
        <w:t>of non-directed pushing such information; (vii) misleading users to permit collecting their personal information or activating the permission for collecting such users’ personal information by improper methods such as fraud and deception; (viii) failing to provide users with the means and methods to withdraw their permission of collecting personal information; and (ix) collecting and using personal information in violation of the rules for collecting and using personal information promulgated by such app operator.</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108</w:t>
      </w:r>
    </w:p>
    <w:p>
      <w:pPr>
        <w:sectPr>
          <w:pgSz w:w="11900" w:h="16838" w:orient="portrait"/>
          <w:cols w:equalWidth="0" w:num="1">
            <w:col w:w="10540"/>
          </w:cols>
          <w:pgMar w:left="320" w:top="447" w:right="10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140" w:firstLine="393"/>
        <w:spacing w:after="0" w:line="255" w:lineRule="auto"/>
        <w:rPr>
          <w:sz w:val="20"/>
          <w:szCs w:val="20"/>
          <w:color w:val="auto"/>
        </w:rPr>
      </w:pPr>
      <w:r>
        <w:rPr>
          <w:rFonts w:ascii="Times New Roman" w:cs="Times New Roman" w:eastAsia="Times New Roman" w:hAnsi="Times New Roman"/>
          <w:sz w:val="16"/>
          <w:szCs w:val="16"/>
          <w:color w:val="auto"/>
        </w:rPr>
        <w:t>On August 22, 2019, the CAC promulgated the Children Information Protection Provisions, which took effect on October 1, 2019, requiring that before collecting, using, transferring or disclosing the personal information of a child, the Internet service operator should inform the child’s guardians in a noticeable and clear manner and obtain their consents. Meanwhile, internet service operators should take measures like encryption when storing children’s personal information. On March 12, 2021, the CAC and three other authorities jointly issued the Rules on the Scope of Necessary Personal Information for Common Types of Mobile Internet Applications. The Rules specifies the scope of necessary personal information to be collected each for a variety of common mobile internet applications, such as maps and navigation apps, online ride-hailing apps, instant messaging apps, online community apps. Operators of such apps shall not refuse to provide basic services to users on the ground of users’ refusal to provide their personal non-essential information. On April 26, 2021, the MIIT issued the Interim Administrative Provisions on Personal Information Protection in Internet Mobile Applications (Draft for Comment). The draft of the Interim Administrative Provisions on Personal Information Protection in Internet Mobile Applications sets forth two principles of collection and utilization of personal information, namely “explicit consent” and “minimum necessity.”</w:t>
      </w: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Regulations on Foreign Exchange</w:t>
      </w:r>
    </w:p>
    <w:p>
      <w:pPr>
        <w:spacing w:after="0" w:line="107" w:lineRule="exact"/>
        <w:rPr>
          <w:sz w:val="20"/>
          <w:szCs w:val="20"/>
          <w:color w:val="auto"/>
        </w:rPr>
      </w:pPr>
    </w:p>
    <w:p>
      <w:pPr>
        <w:ind w:left="700" w:right="20" w:firstLine="393"/>
        <w:spacing w:after="0" w:line="258" w:lineRule="auto"/>
        <w:rPr>
          <w:sz w:val="20"/>
          <w:szCs w:val="20"/>
          <w:color w:val="auto"/>
        </w:rPr>
      </w:pPr>
      <w:r>
        <w:rPr>
          <w:rFonts w:ascii="Times New Roman" w:cs="Times New Roman" w:eastAsia="Times New Roman" w:hAnsi="Times New Roman"/>
          <w:sz w:val="16"/>
          <w:szCs w:val="16"/>
          <w:color w:val="auto"/>
        </w:rPr>
        <w:t>The principal regulation governing foreign currency exchange in China is the Foreign Exchange Administration Rules of the PRC, or the Foreign Exchange Administration Rules. The Foreign Exchange Administration Rules were promulgated by the State Council on January 29, 1996, and became effective on April 1, 1996, and were subsequently amended on January 14, 1997, and August 5, 2008. Under these rules, Renminbi is generally freely convertible for payments of current account items, such as trade and service-related foreign exchange transactions and dividend payments, but not freely convertible for capital account items, such as capital transfer, direct investment, investment in securities, derivative products or loans unless the prior approval by the competent authorities for the administration of foreign exchange is obtained.</w:t>
      </w:r>
    </w:p>
    <w:p>
      <w:pPr>
        <w:spacing w:after="0" w:line="163" w:lineRule="exact"/>
        <w:rPr>
          <w:sz w:val="20"/>
          <w:szCs w:val="20"/>
          <w:color w:val="auto"/>
        </w:rPr>
      </w:pPr>
    </w:p>
    <w:p>
      <w:pPr>
        <w:ind w:left="700" w:right="40" w:firstLine="393"/>
        <w:spacing w:after="0" w:line="258" w:lineRule="auto"/>
        <w:rPr>
          <w:sz w:val="20"/>
          <w:szCs w:val="20"/>
          <w:color w:val="auto"/>
        </w:rPr>
      </w:pPr>
      <w:r>
        <w:rPr>
          <w:rFonts w:ascii="Times New Roman" w:cs="Times New Roman" w:eastAsia="Times New Roman" w:hAnsi="Times New Roman"/>
          <w:sz w:val="16"/>
          <w:szCs w:val="16"/>
          <w:color w:val="auto"/>
        </w:rPr>
        <w:t>Under the Foreign Exchange Administration Rules, foreign-invested enterprises in the PRC may purchase foreign exchange without the approval of State Administration of Foreign Exchange, or SAFE, for paying dividends by providing certain evidencing documents (board resolutions, tax certificates, etc.), or for trade and services-related foreign exchange transactions by providing commercial documents evidencing such transactions. They are also allowed to retain foreign currency (subject to a cap approval by SAFE) to satisfy foreign exchange liabilities. In addition, foreign exchange transactions involving overseas direct investment or investment and trading in securities, derivative products abroad are subject to registration with the competent authorities for the administration of foreign exchange and approval or filings with the relevant government authorities (if necessary).</w:t>
      </w:r>
    </w:p>
    <w:p>
      <w:pPr>
        <w:spacing w:after="0" w:line="163" w:lineRule="exact"/>
        <w:rPr>
          <w:sz w:val="20"/>
          <w:szCs w:val="20"/>
          <w:color w:val="auto"/>
        </w:rPr>
      </w:pPr>
    </w:p>
    <w:p>
      <w:pPr>
        <w:jc w:val="both"/>
        <w:ind w:left="700" w:right="100" w:firstLine="393"/>
        <w:spacing w:after="0" w:line="256" w:lineRule="auto"/>
        <w:rPr>
          <w:sz w:val="20"/>
          <w:szCs w:val="20"/>
          <w:color w:val="auto"/>
        </w:rPr>
      </w:pPr>
      <w:r>
        <w:rPr>
          <w:rFonts w:ascii="Times New Roman" w:cs="Times New Roman" w:eastAsia="Times New Roman" w:hAnsi="Times New Roman"/>
          <w:sz w:val="16"/>
          <w:szCs w:val="16"/>
          <w:color w:val="auto"/>
        </w:rPr>
        <w:t>According to the Circular on the Management of Offshore Investment and Financing and Round Trip Investment By Domestic Residents through Special Purpose Vehicles, or the Circular 37, which is promulgated on July 4, 2014, and became effective on the same day. Under the Circular 37, (i) a PRC resident shall register with the local SAFE branch before he or she contributes assets or equity interests in an overseas special purpose vehicle, or an overseas SPV, that is directly established or indirectly controlled by the PRC resident for the purpose of conducting investment or financing; and</w:t>
      </w:r>
    </w:p>
    <w:p>
      <w:pPr>
        <w:spacing w:after="0" w:line="3" w:lineRule="exact"/>
        <w:rPr>
          <w:sz w:val="20"/>
          <w:szCs w:val="20"/>
          <w:color w:val="auto"/>
        </w:rPr>
      </w:pPr>
    </w:p>
    <w:p>
      <w:pPr>
        <w:ind w:left="700" w:right="60" w:firstLine="7"/>
        <w:spacing w:after="0" w:line="253" w:lineRule="auto"/>
        <w:tabs>
          <w:tab w:leader="none" w:pos="93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initial registration, the PRC resident is also required to register with the local SAFE branch for any major change, in respect of the overseas SPV, including, among other things, a change in the overseas SPV’ s PRC resident shareholder, name of the overseas SPV, term of operation, or any increase or reduction of the contributions by the PRC resident, share transfer or swap, and merger or division. Failure to comply with the registration procedures set forth in Circular 37 and the subsequent notice, or making misrepresentation on or failure to disclose controllers of the foreign-invested enterprise that is established through round-trip investment, may result in restrictions being imposed on the foreign exchange activities of the relevant foreign-invested enterprise, including payment of dividends and other distributions, such as proceeds from any reduction in capital, share transfer or liquidation, to its offshore parent or affiliate, and the capital inflow from the offshore parent, and may also subject relevant PRC residents or entities to penalties under PRC foreign exchange administration regulations.</w:t>
      </w:r>
    </w:p>
    <w:p>
      <w:pPr>
        <w:spacing w:after="0" w:line="167"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Pursuant to Circular of the State Administration of Foreign Exchange on Further Simplifying and Improving the Direct Investment-related Foreign Exchange Administration Policies, which was promulgated on February 13, 2015, and implemented on June 1, 2015, and amended on December 30, 2019, the initial foreign exchange registration for establishing or taking control of a SPV by domestic residents can be conducted with a qualified bank, instead of the local foreign exchange bureau.</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109</w:t>
      </w:r>
    </w:p>
    <w:p>
      <w:pPr>
        <w:sectPr>
          <w:pgSz w:w="11900" w:h="16838" w:orient="portrait"/>
          <w:cols w:equalWidth="0" w:num="1">
            <w:col w:w="10540"/>
          </w:cols>
          <w:pgMar w:left="320" w:top="447" w:right="10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80" w:firstLine="393"/>
        <w:spacing w:after="0" w:line="262" w:lineRule="auto"/>
        <w:rPr>
          <w:sz w:val="20"/>
          <w:szCs w:val="20"/>
          <w:color w:val="auto"/>
        </w:rPr>
      </w:pPr>
      <w:r>
        <w:rPr>
          <w:rFonts w:ascii="Times New Roman" w:cs="Times New Roman" w:eastAsia="Times New Roman" w:hAnsi="Times New Roman"/>
          <w:sz w:val="16"/>
          <w:szCs w:val="16"/>
          <w:color w:val="auto"/>
        </w:rPr>
        <w:t>According to the Implementation Rules for the Provisional Regulations on Statistics and Supervision of Foreign Debt, which was promulgated by SAFE on September 24, 1997, and the Interim Provisions on the Management of Foreign Debts promulgated by SAFE, the NDRC and the MOFCOM which became effective on March 1, 2003, loans by foreign companies to their subsidiaries in the PRC, which accordingly are foreign-invested enterprises, are considered foreign debts.</w:t>
      </w:r>
    </w:p>
    <w:p>
      <w:pPr>
        <w:spacing w:after="0" w:line="161" w:lineRule="exact"/>
        <w:rPr>
          <w:sz w:val="20"/>
          <w:szCs w:val="20"/>
          <w:color w:val="auto"/>
        </w:rPr>
      </w:pPr>
    </w:p>
    <w:p>
      <w:pPr>
        <w:ind w:left="700" w:right="20" w:firstLine="393"/>
        <w:spacing w:after="0" w:line="254" w:lineRule="auto"/>
        <w:rPr>
          <w:sz w:val="20"/>
          <w:szCs w:val="20"/>
          <w:color w:val="auto"/>
        </w:rPr>
      </w:pPr>
      <w:r>
        <w:rPr>
          <w:rFonts w:ascii="Times New Roman" w:cs="Times New Roman" w:eastAsia="Times New Roman" w:hAnsi="Times New Roman"/>
          <w:sz w:val="16"/>
          <w:szCs w:val="16"/>
          <w:color w:val="auto"/>
        </w:rPr>
        <w:t>Pursuant to the Measures for the Administration of Foreign Debt Registration, together with the Guidelines on the Administration of Foreign Debt Registration, both issued by SAFE on April 28, 2013, and amended on May 4, 2015, April 26, 2016, and June 9, 2016, the Notice on Matters concerning the Macro Prudential Administration of Full-Covered Cross Border Financing issued by the PBOC on January 12, 2017, the Circular of the People’s Bank of China and the State Administration of Foreign Exchange on Adjusting the Macro-prudential Regulation Parameter for Full-covered Cross-border Financing promulgated by the PBOC and the SAFE on March 12, 2020, the Circular of the People’s Bank of China and the State Administration of Foreign Exchange on Adjusting Macro-prudential Regulation Parameter for Cross-border Financing of Enterprises promulgated by the PBOC and the SAFE on January 7, 2021, and the Circular of the People’s Bank of China and the State Administration of Foreign Exchange on Adjusting Macro-prudential Regulation Parameter for Cross-border Financing in October 2022, the total amount of accumulated foreign debt borrowed by an enterprise is subject to an upper limit of the difference between its registered capital and its total investment amount, or 2.5 times, or the then applicable statutory multiple, of the amount of its audited net assets, at its election, and the foreign-invested enterprise is required to file with SAFE after entering into relevant foreign debt contract and within at least three business days before drawing any money from the foreign debts.</w:t>
      </w:r>
    </w:p>
    <w:p>
      <w:pPr>
        <w:spacing w:after="0" w:line="2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Regulations on M&amp;A Rules and Overseas Securities Offering and Listing</w:t>
      </w:r>
    </w:p>
    <w:p>
      <w:pPr>
        <w:spacing w:after="0" w:line="109"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Under the Provisions on the Merger and Acquisition of Domestic Enterprises by Foreign Investors (revised in 2009), or the M&amp;A Rules, a foreign investor is required to obtain necessary approvals when (i) a foreign investor acquires equity in a domestic non-foreign invested enterprise thereby converting it into a foreign-invested enterprise, or subscribes for new equity in a domestic enterprise via an increase of registered capital thereby converting it into a foreign-invested enterprise; or (ii) a foreign investor establishes a foreign-invested enterprise which purchases and operates the assets of a domestic enterprise, or which purchases the assets of a domestic enterprise and injects those assets to establish a foreign-invested enterprise. According to Article 11 of the M&amp;A Rules, where a domestic company or enterprise, or a domestic natural person, through an overseas company established or controlled by it, acquires a domestic company which is related to or connected with it, approval from the MOFCOM is required.</w:t>
      </w:r>
    </w:p>
    <w:p>
      <w:pPr>
        <w:spacing w:after="0" w:line="169" w:lineRule="exact"/>
        <w:rPr>
          <w:sz w:val="20"/>
          <w:szCs w:val="20"/>
          <w:color w:val="auto"/>
        </w:rPr>
      </w:pPr>
    </w:p>
    <w:p>
      <w:pPr>
        <w:ind w:left="700" w:right="100" w:firstLine="393"/>
        <w:spacing w:after="0" w:line="262" w:lineRule="auto"/>
        <w:rPr>
          <w:sz w:val="20"/>
          <w:szCs w:val="20"/>
          <w:color w:val="auto"/>
        </w:rPr>
      </w:pPr>
      <w:r>
        <w:rPr>
          <w:rFonts w:ascii="Times New Roman" w:cs="Times New Roman" w:eastAsia="Times New Roman" w:hAnsi="Times New Roman"/>
          <w:sz w:val="16"/>
          <w:szCs w:val="16"/>
          <w:color w:val="auto"/>
        </w:rPr>
        <w:t>On July 6, 2021, the relevant PRC government authorities issued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w:t>
      </w:r>
    </w:p>
    <w:p>
      <w:pPr>
        <w:spacing w:after="0" w:line="161"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On December 27, 2021, the NDRC and the MOFCOM jointly issued the 2021 Negative List, which became effective on January 1, 2022. Pursuant to the 2021 Negative List, if a domestic company engaging in the prohibited business stipulated in the 2021 Negative List seeks an overseas offering and listing, it shall obtain the approval from the competent governmental authorities. Besides, the foreign investors of the company shall not be involved in the company’s operation and management, and their shareholding percentage shall be subject, mutatis mutandis, to the relevant regulations on the domestic securities investments by foreign investors.</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110</w:t>
      </w:r>
    </w:p>
    <w:p>
      <w:pPr>
        <w:sectPr>
          <w:pgSz w:w="11900" w:h="16838" w:orient="portrait"/>
          <w:cols w:equalWidth="0" w:num="1">
            <w:col w:w="10540"/>
          </w:cols>
          <w:pgMar w:left="320" w:top="447" w:right="10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53" w:lineRule="auto"/>
        <w:rPr>
          <w:sz w:val="20"/>
          <w:szCs w:val="20"/>
          <w:color w:val="auto"/>
        </w:rPr>
      </w:pPr>
      <w:r>
        <w:rPr>
          <w:rFonts w:ascii="Times New Roman" w:cs="Times New Roman" w:eastAsia="Times New Roman" w:hAnsi="Times New Roman"/>
          <w:sz w:val="16"/>
          <w:szCs w:val="16"/>
          <w:color w:val="auto"/>
        </w:rPr>
        <w:t>On February 17, 2023, the CSRC issued the Overseas Listing Filing Rules, which took effect on March 31, 2023. According to the Overseas Listing Filing Rules, the overseas offering and listing by a PRC domestic company, whether directly or indirectly, shall be filed with the CSRC. Specifically, the determination of an indirect offering and listing will be conducted on a “substance over form” basis, and an offering and listing shall be considered as an indirect overseas offering and listing by a domestic company if the issuer meets both the following conditions: (i) the operating income, gross profit, total assets, or net assets of the domestic enterprise in the most recent fiscal year, where any index accounts for more than 50% of the relevant line item in the issuer’s audited consolidated financial statement for that year; and (ii) the main links of business activities carried out in mainland China or the main place of business is in mainland China, or the senior management personnel responsible for business operations and management are mostly PRC citizens or are ordinarily resident in mainland China. According to the Overseas Listing Filing Rules, an overseas offering and listing is prohibited under any of the following circumstances: (i) if the intended securities offering and listing is specifically prohibited by national laws and regulations and relevant provisions; (ii) if the intended securities offering and listing may endangers national security as reviewed and determined by competent authorities under the State Council in accordance with law; (iii) if, in the past three years, the domestic enterprise or its controlling shareholders or actual controllers have committed corruption, bribery, embezzlement, misappropriation of property, or other criminal offenses disruptive to the order of the socialist market economy; (iv) if, the domestic enterprise is under investigation according to law for suspected crimes or major violations of laws and regulations, but no clear conclusions have been reached; (v) if there are material ownership disputes over the equity held by the controlling shareholder, or controlled by the controlling shareholder or the actual controller.</w:t>
      </w:r>
    </w:p>
    <w:p>
      <w:pPr>
        <w:spacing w:after="0" w:line="176" w:lineRule="exact"/>
        <w:rPr>
          <w:sz w:val="20"/>
          <w:szCs w:val="20"/>
          <w:color w:val="auto"/>
        </w:rPr>
      </w:pPr>
    </w:p>
    <w:p>
      <w:pPr>
        <w:ind w:left="700" w:right="40" w:firstLine="393"/>
        <w:spacing w:after="0" w:line="254" w:lineRule="auto"/>
        <w:rPr>
          <w:sz w:val="20"/>
          <w:szCs w:val="20"/>
          <w:color w:val="auto"/>
        </w:rPr>
      </w:pPr>
      <w:r>
        <w:rPr>
          <w:rFonts w:ascii="Times New Roman" w:cs="Times New Roman" w:eastAsia="Times New Roman" w:hAnsi="Times New Roman"/>
          <w:sz w:val="16"/>
          <w:szCs w:val="16"/>
          <w:color w:val="auto"/>
        </w:rPr>
        <w:t>According to the Overseas Listing Filing Rules, the issuer or a major domestic operating company designated by the issuer, as the case may be, shall file with the CSRC (i) with respect to its initial public offering and listing within three business days, after its initial filing of the listing application to the regulator in the place of the intended listing, (ii) with respect to its follow-on offering in the same foreign market within three business days after completion of the follow-on offering, (iii) with respect to the assets of a domestic company are directly or indirectly listed overseas through one or more acquisitions, share swap, transfer or other transaction arrangements, the domestic company shall file with the CSRC in accordance with (i), in the case does not involve the submission of application documents abroad, within three business days after the first public announcement of the transaction. Non-compliance with the Overseas Listing Filing Rules or an overseas listing completed in breach of the Overseas Listing Filing Rules may result in a warning on the relevant domestic companies and a fine of RMB1 million to RMB10 million on them. Furthermore, the supervisors directly responsible and other directly responsible persons of the domestic enterprises may be warned, and fined between RMB500,000 to RMB5,000,000. The controlling shareholders or actual controllers of the domestic company organize or instigate the relevant illegal acts, or conceals relevant matters resulting in the illegal acts, may be fined between RMB 1 million to RMB10 million.</w:t>
      </w:r>
    </w:p>
    <w:p>
      <w:pPr>
        <w:spacing w:after="0" w:line="172" w:lineRule="exact"/>
        <w:rPr>
          <w:sz w:val="20"/>
          <w:szCs w:val="20"/>
          <w:color w:val="auto"/>
        </w:rPr>
      </w:pPr>
    </w:p>
    <w:p>
      <w:pPr>
        <w:ind w:left="700" w:right="40" w:firstLine="393"/>
        <w:spacing w:after="0" w:line="254" w:lineRule="auto"/>
        <w:rPr>
          <w:sz w:val="20"/>
          <w:szCs w:val="20"/>
          <w:color w:val="auto"/>
        </w:rPr>
      </w:pPr>
      <w:r>
        <w:rPr>
          <w:rFonts w:ascii="Times New Roman" w:cs="Times New Roman" w:eastAsia="Times New Roman" w:hAnsi="Times New Roman"/>
          <w:sz w:val="16"/>
          <w:szCs w:val="16"/>
          <w:color w:val="auto"/>
        </w:rPr>
        <w:t>On February 24, 2023, the CSRC and the relevant government authorities released the Provisions on Strengthening Confidentiality and Archives Administration in Respect of Overseas Issuance and Listing of Securities by Domestic Enterprises, or the provisions. The provisions provide that, among other things, (i) in the course of overseas issuance and listing of domestic enterprises, domestic enterprises and securities companies and securities service agencies which provide the corresponding services shall strictly comply with the relevant laws and regulations of the People’s Republic of China and the requirements of these Provisions, strengthen legal awareness of confidentiality of State secrets and archives administration, establish a sound system for confidentiality and archives work, adopt the requisite measures to perform the responsibilities of confidentiality and archives administration, and shall not divulge State secrets and work secrets of State agencies or harm State and public interests; (ii) to provide accounting records or photocopies of accounting records to entities and individuals such as the relevant securities companies, securities service agencies and overseas regulatory authorities, a domestic enterprise shall perform the corresponding procedures in accordance with the relevant provisions of the State; (iii) the working papers formed within the territory of China by the securities companies and securities service agencies that provide corresponding services for the overseas issuance and listing of domestic enterprises shall be stored within the territory of China. Those that need to transmit working papers outbound shall go through examination and approval formalities in accordance with the relevant provisions of the State.</w:t>
      </w:r>
    </w:p>
    <w:p>
      <w:pPr>
        <w:spacing w:after="0" w:line="2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Regulations on Intellectual Property</w:t>
      </w:r>
    </w:p>
    <w:p>
      <w:pPr>
        <w:spacing w:after="0" w:line="1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Trademark</w:t>
      </w:r>
    </w:p>
    <w:p>
      <w:pPr>
        <w:spacing w:after="0" w:line="109" w:lineRule="exact"/>
        <w:rPr>
          <w:sz w:val="20"/>
          <w:szCs w:val="20"/>
          <w:color w:val="auto"/>
        </w:rPr>
      </w:pPr>
    </w:p>
    <w:p>
      <w:pPr>
        <w:ind w:left="700" w:right="60" w:firstLine="393"/>
        <w:spacing w:after="0" w:line="258" w:lineRule="auto"/>
        <w:rPr>
          <w:sz w:val="20"/>
          <w:szCs w:val="20"/>
          <w:color w:val="auto"/>
        </w:rPr>
      </w:pPr>
      <w:r>
        <w:rPr>
          <w:rFonts w:ascii="Times New Roman" w:cs="Times New Roman" w:eastAsia="Times New Roman" w:hAnsi="Times New Roman"/>
          <w:sz w:val="16"/>
          <w:szCs w:val="16"/>
          <w:color w:val="auto"/>
        </w:rPr>
        <w:t>Pursuant to the Trademark Law of the PRC, which was most recently amended on April 23, 2019, and took effect on November 1, 2019, the valid period for registered trademark is ten years from the date of registration; to renew trademark registration upon expiration, the trademark registrant should follow the provisions to manage renewal 12 months before expiration; if it is not processed within the period, a six-month extension period shall be given. Valid period for each renewal is ten years from the next day after the previous expiration date. If renewal is not obtained after expiration, the trademark shall be canceled. Business administration authority shall sanction any infringement of trademark by law; where suspected crime is involved, the perpetrator shall be promptly apprehended by judicial agency for legal proceedings.</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111</w:t>
      </w:r>
    </w:p>
    <w:p>
      <w:pPr>
        <w:sectPr>
          <w:pgSz w:w="11900" w:h="16838" w:orient="portrait"/>
          <w:cols w:equalWidth="0" w:num="1">
            <w:col w:w="10540"/>
          </w:cols>
          <w:pgMar w:left="320" w:top="447" w:right="10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Copyright</w:t>
      </w:r>
    </w:p>
    <w:p>
      <w:pPr>
        <w:spacing w:after="0" w:line="109"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Pursuant to the Copyright Law of the PRC most recently amended on November 11, 2020, and took effect on June 1, 2021, Chinese citizens, legal person or any other organization shall be entitled to copyright of its work by this law whether or not such work is published or not. Copyright covers the following forms of creative works: literature, art, natural science, engineering technology works, writing, narration, music, drama, opera, dance and acrobatic works, fine art and architectural works, photography, audio-visual works, drawings of engineering designs and product designs, maps, illustrations, other graphic works and model works; computer software and other intellectual creations that meet the characteristics of works. Perpetrator infringing on copyright or copyright related rights shall be held liable for actual damages to obligee, and may be fined, and the illegal gains, pirate copies and properties used for illegal activities may be confiscated.</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Domain Name</w:t>
      </w:r>
    </w:p>
    <w:p>
      <w:pPr>
        <w:spacing w:after="0" w:line="109" w:lineRule="exact"/>
        <w:rPr>
          <w:sz w:val="20"/>
          <w:szCs w:val="20"/>
          <w:color w:val="auto"/>
        </w:rPr>
      </w:pPr>
    </w:p>
    <w:p>
      <w:pPr>
        <w:ind w:left="700" w:right="80" w:firstLine="393"/>
        <w:spacing w:after="0" w:line="258" w:lineRule="auto"/>
        <w:rPr>
          <w:sz w:val="20"/>
          <w:szCs w:val="20"/>
          <w:color w:val="auto"/>
        </w:rPr>
      </w:pPr>
      <w:r>
        <w:rPr>
          <w:rFonts w:ascii="Times New Roman" w:cs="Times New Roman" w:eastAsia="Times New Roman" w:hAnsi="Times New Roman"/>
          <w:sz w:val="16"/>
          <w:szCs w:val="16"/>
          <w:color w:val="auto"/>
        </w:rPr>
        <w:t>Pursuant to the Internet Domain Name Management Measures released by the MIIT on August 24, 2017, and effective on November 1, 2017, domain name registration shall be conducted through domain name registration management service institutions, on the basis of “first apply first register,” unless otherwise specified by the implementation rules for a particular domain name. Domain name registration management service institution should enter into individual domain name registration agreement with the applicant. The domain name holder should notify domain name registration management service institution any alteration in registration information other than that of the holder and apply for registration information change within 30 days after the alteration according to alteration recognition method selected at application.</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Patents</w:t>
      </w:r>
    </w:p>
    <w:p>
      <w:pPr>
        <w:spacing w:after="0" w:line="109" w:lineRule="exact"/>
        <w:rPr>
          <w:sz w:val="20"/>
          <w:szCs w:val="20"/>
          <w:color w:val="auto"/>
        </w:rPr>
      </w:pPr>
    </w:p>
    <w:p>
      <w:pPr>
        <w:ind w:left="700" w:right="80" w:firstLine="393"/>
        <w:spacing w:after="0" w:line="259" w:lineRule="auto"/>
        <w:rPr>
          <w:sz w:val="20"/>
          <w:szCs w:val="20"/>
          <w:color w:val="auto"/>
        </w:rPr>
      </w:pPr>
      <w:r>
        <w:rPr>
          <w:rFonts w:ascii="Times New Roman" w:cs="Times New Roman" w:eastAsia="Times New Roman" w:hAnsi="Times New Roman"/>
          <w:sz w:val="16"/>
          <w:szCs w:val="16"/>
          <w:color w:val="auto"/>
        </w:rPr>
        <w:t>Pursuant to the Patent Law of the PRC, or the Patent Law, promulgated by the SCNPC, most recently amended on October 17, 2020, and took effect on June 1, 2021, and the Implementation Rules for the Patent Law of the PRC promulgated by the State Council, patents are categorized into invention, utility model and appearance design. The patent right period for invention is 20 years from the date of application, the patent right period for utility model is ten years from the date of application and the patent right period for appearance design is fifteen years from the date of application. The Patent Law and its Implementation Rules stipulate that a patentee’s patent right entitlement is protected by law.</w:t>
      </w: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Regulations on Tax</w:t>
      </w:r>
    </w:p>
    <w:p>
      <w:pPr>
        <w:spacing w:after="0" w:line="1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Corporate Income Tax</w:t>
      </w:r>
    </w:p>
    <w:p>
      <w:pPr>
        <w:spacing w:after="0" w:line="109"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Pursuant to the EIT Law of the PRC effective on January 1, 2008, and amended on December 29, 2018, and the Implementation Provisions for the EIT Law of the PRC effective on April 23, 2019, companies are classified into resident companies and non-resident companies. Corporate Income Tax rate is 25%, or 20% for non-resident company which hasn’t set up an organization or an operating site, or its income from established organization or operating side is not connected to such organization or site, judging by the source of its income within the PRC territory. High and new technology companies encouraged by the government shall be accorded with 15% income tax.</w:t>
      </w:r>
    </w:p>
    <w:p>
      <w:pPr>
        <w:spacing w:after="0" w:line="164" w:lineRule="exact"/>
        <w:rPr>
          <w:sz w:val="20"/>
          <w:szCs w:val="20"/>
          <w:color w:val="auto"/>
        </w:rPr>
      </w:pPr>
    </w:p>
    <w:p>
      <w:pPr>
        <w:ind w:left="700" w:right="60" w:firstLine="393"/>
        <w:spacing w:after="0" w:line="258" w:lineRule="auto"/>
        <w:rPr>
          <w:sz w:val="20"/>
          <w:szCs w:val="20"/>
          <w:color w:val="auto"/>
        </w:rPr>
      </w:pPr>
      <w:r>
        <w:rPr>
          <w:rFonts w:ascii="Times New Roman" w:cs="Times New Roman" w:eastAsia="Times New Roman" w:hAnsi="Times New Roman"/>
          <w:sz w:val="16"/>
          <w:szCs w:val="16"/>
          <w:color w:val="auto"/>
        </w:rPr>
        <w:t>Pursuant to the Announcement on Issues Regarding Implementation of Preferential Income Tax Policy for High and New Technology Companies released on June 19, 2017, by State Administration of Taxation or the SAT, company qualified as high or new technology company shall enjoy preferential tax from the year indicated on the certificate for high and new technology company, and file for registration with taxation agency of jurisdiction according to relevant provisions. On expiration of the qualification as high and new technology company, income tax shall be temporarily levied pursuant to a preferential tax rate of 15% before renewal of the qualification; if such qualification is not obtained before the end of the year, the difference between the preferential tax rate and the regular tax rate should be paid according to applicable provisions.</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112</w:t>
      </w:r>
    </w:p>
    <w:p>
      <w:pPr>
        <w:sectPr>
          <w:pgSz w:w="11900" w:h="16838" w:orient="portrait"/>
          <w:cols w:equalWidth="0" w:num="1">
            <w:col w:w="10520"/>
          </w:cols>
          <w:pgMar w:left="320" w:top="447" w:right="10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Withholding Income Tax</w:t>
      </w:r>
    </w:p>
    <w:p>
      <w:pPr>
        <w:spacing w:after="0" w:line="109"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Pursuant to the Arrangement between Mainland and Hong Kong S.A.R. Regarding Avoidance of Double Taxation on Income and Prevention of Tax Evasion agreed between SAT and Hong Kong S.A.R. on August 21, 2006, and certain relevant conventions implemented as of June 11, 2008, December 20, 2010, December 29, 2015, and December 6, 2019, if Hong Kong resident holds at least 25% of the registered capital of a company in China, the withholding income tax rate applicable to the Chinese company for dividends payable to the Hong Kong resident is 5%. In all other cases, the withholding income tax rate applicable to the Chinese company for dividends payable to the Hong Kong resident is 10%.</w:t>
      </w:r>
    </w:p>
    <w:p>
      <w:pPr>
        <w:spacing w:after="0" w:line="2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Value-Added Tax</w:t>
      </w:r>
    </w:p>
    <w:p>
      <w:pPr>
        <w:spacing w:after="0" w:line="109" w:lineRule="exact"/>
        <w:rPr>
          <w:sz w:val="20"/>
          <w:szCs w:val="20"/>
          <w:color w:val="auto"/>
        </w:rPr>
      </w:pPr>
    </w:p>
    <w:p>
      <w:pPr>
        <w:ind w:left="700" w:right="80" w:firstLine="393"/>
        <w:spacing w:after="0" w:line="262" w:lineRule="auto"/>
        <w:rPr>
          <w:sz w:val="20"/>
          <w:szCs w:val="20"/>
          <w:color w:val="auto"/>
        </w:rPr>
      </w:pPr>
      <w:r>
        <w:rPr>
          <w:rFonts w:ascii="Times New Roman" w:cs="Times New Roman" w:eastAsia="Times New Roman" w:hAnsi="Times New Roman"/>
          <w:sz w:val="16"/>
          <w:szCs w:val="16"/>
          <w:color w:val="auto"/>
        </w:rPr>
        <w:t>Pursuant to the Provisional Regulations on Value-Added Tax of the PRC last amended on November 19, 2017, and its Implementation Rules promulgated by the Ministry of Finance, or the MOF and last amended on October 28, 2011, tax payers engaging in sale of goods, provision of processing services, repairs and replacement services, sales of services, intangible assets or real property, or importation of goods within the territory of the PRC shall pay value-added tax, or the VAT.</w:t>
      </w:r>
    </w:p>
    <w:p>
      <w:pPr>
        <w:spacing w:after="0" w:line="161" w:lineRule="exact"/>
        <w:rPr>
          <w:sz w:val="20"/>
          <w:szCs w:val="20"/>
          <w:color w:val="auto"/>
        </w:rPr>
      </w:pPr>
    </w:p>
    <w:p>
      <w:pPr>
        <w:jc w:val="both"/>
        <w:ind w:left="700" w:right="60" w:firstLine="393"/>
        <w:spacing w:after="0" w:line="267" w:lineRule="auto"/>
        <w:rPr>
          <w:sz w:val="20"/>
          <w:szCs w:val="20"/>
          <w:color w:val="auto"/>
        </w:rPr>
      </w:pPr>
      <w:r>
        <w:rPr>
          <w:rFonts w:ascii="Times New Roman" w:cs="Times New Roman" w:eastAsia="Times New Roman" w:hAnsi="Times New Roman"/>
          <w:sz w:val="16"/>
          <w:szCs w:val="16"/>
          <w:color w:val="auto"/>
        </w:rPr>
        <w:t>On November 16, 2011, the MOF and the SAT jointly promulgated the Pilot Plan for Levying Value-Added Tax in lieu of Business Tax. Starting from January 1, 2012, the PRC government has been gradually implementing a pilot program in certain provinces and municipalities, to levy a 6% VAT on revenue generated from modern service industries in lieu of the business tax.</w:t>
      </w:r>
    </w:p>
    <w:p>
      <w:pPr>
        <w:spacing w:after="0" w:line="157" w:lineRule="exact"/>
        <w:rPr>
          <w:sz w:val="20"/>
          <w:szCs w:val="20"/>
          <w:color w:val="auto"/>
        </w:rPr>
      </w:pPr>
    </w:p>
    <w:p>
      <w:pPr>
        <w:ind w:left="700" w:right="260" w:firstLine="393"/>
        <w:spacing w:after="0" w:line="259" w:lineRule="auto"/>
        <w:rPr>
          <w:sz w:val="20"/>
          <w:szCs w:val="20"/>
          <w:color w:val="auto"/>
        </w:rPr>
      </w:pPr>
      <w:r>
        <w:rPr>
          <w:rFonts w:ascii="Times New Roman" w:cs="Times New Roman" w:eastAsia="Times New Roman" w:hAnsi="Times New Roman"/>
          <w:sz w:val="16"/>
          <w:szCs w:val="16"/>
          <w:color w:val="auto"/>
        </w:rPr>
        <w:t>The Measures for the Exemption of Value-Added Tax from Cross-Border Taxable Activities in the Collection of Value-Added Tax in Lieu of Business Tax (for Trial Implementation), which was promulgated on May 6, 2016, by the SAT, and revised according to the Notice of State Administration of Taxation on Revising Some Normative Documents on Taxation on June 15, 2018, provides that if a domestic enterprise provides cross-border taxable activities such as professional technology services, technology transfer, software service etc., the above mentioned cross-border taxable activities shall be exempted from the VAT.</w:t>
      </w:r>
    </w:p>
    <w:p>
      <w:pPr>
        <w:spacing w:after="0" w:line="164" w:lineRule="exact"/>
        <w:rPr>
          <w:sz w:val="20"/>
          <w:szCs w:val="20"/>
          <w:color w:val="auto"/>
        </w:rPr>
      </w:pPr>
    </w:p>
    <w:p>
      <w:pPr>
        <w:ind w:left="700" w:right="120" w:firstLine="393"/>
        <w:spacing w:after="0" w:line="284" w:lineRule="auto"/>
        <w:rPr>
          <w:sz w:val="20"/>
          <w:szCs w:val="20"/>
          <w:color w:val="auto"/>
        </w:rPr>
      </w:pPr>
      <w:r>
        <w:rPr>
          <w:rFonts w:ascii="Times New Roman" w:cs="Times New Roman" w:eastAsia="Times New Roman" w:hAnsi="Times New Roman"/>
          <w:sz w:val="16"/>
          <w:szCs w:val="16"/>
          <w:color w:val="auto"/>
        </w:rPr>
        <w:t>On March 23, 2016, the MOF and the SAT jointly issued the Circular of Full Implementation of Business Tax to Value-added Tax Reform which confirms that business tax will be completely replaced by the VAT from May 1, 2016.</w:t>
      </w:r>
    </w:p>
    <w:p>
      <w:pPr>
        <w:spacing w:after="0" w:line="143" w:lineRule="exact"/>
        <w:rPr>
          <w:sz w:val="20"/>
          <w:szCs w:val="20"/>
          <w:color w:val="auto"/>
        </w:rPr>
      </w:pPr>
    </w:p>
    <w:p>
      <w:pPr>
        <w:ind w:left="700" w:firstLine="393"/>
        <w:spacing w:after="0" w:line="267" w:lineRule="auto"/>
        <w:rPr>
          <w:sz w:val="20"/>
          <w:szCs w:val="20"/>
          <w:color w:val="auto"/>
        </w:rPr>
      </w:pPr>
      <w:r>
        <w:rPr>
          <w:rFonts w:ascii="Times New Roman" w:cs="Times New Roman" w:eastAsia="Times New Roman" w:hAnsi="Times New Roman"/>
          <w:sz w:val="16"/>
          <w:szCs w:val="16"/>
          <w:color w:val="auto"/>
        </w:rPr>
        <w:t>Pursuant to Notice of the Ministry of Finance and the State Administration of Taxation on Adjusting Value-added Tax Rates issued by the MOF and SAT on April 4, 2018, and effective on May 1, 2018, the applicable VAT for VAT-taxable sales activities or imported goods are adjusted respectively from 17% and 11% to 16% and 10%.</w:t>
      </w:r>
    </w:p>
    <w:p>
      <w:pPr>
        <w:spacing w:after="0" w:line="157" w:lineRule="exact"/>
        <w:rPr>
          <w:sz w:val="20"/>
          <w:szCs w:val="20"/>
          <w:color w:val="auto"/>
        </w:rPr>
      </w:pPr>
    </w:p>
    <w:p>
      <w:pPr>
        <w:ind w:left="700" w:right="140" w:firstLine="393"/>
        <w:spacing w:after="0" w:line="262" w:lineRule="auto"/>
        <w:rPr>
          <w:sz w:val="20"/>
          <w:szCs w:val="20"/>
          <w:color w:val="auto"/>
        </w:rPr>
      </w:pPr>
      <w:r>
        <w:rPr>
          <w:rFonts w:ascii="Times New Roman" w:cs="Times New Roman" w:eastAsia="Times New Roman" w:hAnsi="Times New Roman"/>
          <w:sz w:val="16"/>
          <w:szCs w:val="16"/>
          <w:color w:val="auto"/>
        </w:rPr>
        <w:t>Pursuant to the Announcement on Relevant Policies for Deepening Value-Added Tax Reform issued by the MOF, the SAT and the General Administration of Customs on March 20, 2019, which came into force on April 1, 2019, with respect to VAT taxable sales or imported goods of a VAT general taxpayer, where the VAT rate of 16% applies currently, it shall be adjusted to 13%, and the currently applicable VAT rate of 10% shall be adjusted to 9%.</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Regulations on Employment and Social Welfare</w:t>
      </w:r>
    </w:p>
    <w:p>
      <w:pPr>
        <w:spacing w:after="0" w:line="1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Employment</w:t>
      </w:r>
    </w:p>
    <w:p>
      <w:pPr>
        <w:spacing w:after="0" w:line="109" w:lineRule="exact"/>
        <w:rPr>
          <w:sz w:val="20"/>
          <w:szCs w:val="20"/>
          <w:color w:val="auto"/>
        </w:rPr>
      </w:pPr>
    </w:p>
    <w:p>
      <w:pPr>
        <w:ind w:left="700" w:right="140" w:firstLine="393"/>
        <w:spacing w:after="0" w:line="262" w:lineRule="auto"/>
        <w:rPr>
          <w:sz w:val="20"/>
          <w:szCs w:val="20"/>
          <w:color w:val="auto"/>
        </w:rPr>
      </w:pPr>
      <w:r>
        <w:rPr>
          <w:rFonts w:ascii="Times New Roman" w:cs="Times New Roman" w:eastAsia="Times New Roman" w:hAnsi="Times New Roman"/>
          <w:sz w:val="16"/>
          <w:szCs w:val="16"/>
          <w:color w:val="auto"/>
        </w:rPr>
        <w:t>The relevant labor laws in China include the Labor Law of the PRC, the Labor Contract Law of the PRC, Interim Provisions on Labor Dispatch, the Social Insurance Law of the PRC, the Provisional Measures for Company Employee Birth Insurance (1994), the Provisional Regulations for the Collection and Payment of Social Insurance Premiums, and Regulations on Management of Housing Provident Fund and other laws and regulations released from time to time by relevant governmental departments.</w:t>
      </w:r>
    </w:p>
    <w:p>
      <w:pPr>
        <w:spacing w:after="0" w:line="161" w:lineRule="exact"/>
        <w:rPr>
          <w:sz w:val="20"/>
          <w:szCs w:val="20"/>
          <w:color w:val="auto"/>
        </w:rPr>
      </w:pPr>
    </w:p>
    <w:p>
      <w:pPr>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Pursuant to the Labor Law of the PRC implemented on January 1, 1995, and last amended on December 29, 2018, by the SCNPC, enterprises and institutions must establish and improve work safety and health system, strictly enforce national regulations and standards on work safety and health, and carry out work safety and health education for workers. Working safety and health facilities must meet national standard. Enterprises and institutions must provide workers with working safety and health conditions that satisfy national provisions and relevant articles on labor protection.</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113</w:t>
      </w:r>
    </w:p>
    <w:p>
      <w:pPr>
        <w:sectPr>
          <w:pgSz w:w="11900" w:h="16838" w:orient="portrait"/>
          <w:cols w:equalWidth="0" w:num="1">
            <w:col w:w="10520"/>
          </w:cols>
          <w:pgMar w:left="320" w:top="447" w:right="10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Pursuant to the Labor Contract Law of the PRC effective on January 1, 2008, and amended on December 28, 2012, by the SCNPC, or the Labor Contract Law, enterprise or organization which will establish or has established employment relationship with workers should make it official with written employment contract. No enterprise or institution may force workers to work overtime, and employer should pay over-time fee to workers in line with applicable national provisions.</w:t>
      </w:r>
    </w:p>
    <w:p>
      <w:pPr>
        <w:spacing w:after="0" w:line="161" w:lineRule="exact"/>
        <w:rPr>
          <w:sz w:val="20"/>
          <w:szCs w:val="20"/>
          <w:color w:val="auto"/>
        </w:rPr>
      </w:pPr>
    </w:p>
    <w:p>
      <w:pPr>
        <w:ind w:left="700" w:right="40" w:firstLine="393"/>
        <w:spacing w:after="0" w:line="259" w:lineRule="auto"/>
        <w:rPr>
          <w:sz w:val="20"/>
          <w:szCs w:val="20"/>
          <w:color w:val="auto"/>
        </w:rPr>
      </w:pPr>
      <w:r>
        <w:rPr>
          <w:rFonts w:ascii="Times New Roman" w:cs="Times New Roman" w:eastAsia="Times New Roman" w:hAnsi="Times New Roman"/>
          <w:sz w:val="16"/>
          <w:szCs w:val="16"/>
          <w:color w:val="auto"/>
        </w:rPr>
        <w:t>Pursuant to the Interim Provisions on Labor Dispatch which were implemented by the Ministry of Human Resources and Social Security on March 1, 2014, and the Labor Contract Law, employers may only employ dispatched workers in temporary, auxiliary or substitutable positions and the number of which shall not exceed 10% of the total number of its employees. If the employer violates the relevant labor dispatch regulations, the labor administrative department shall order it to make rectifications within a time limit; if it fails to make rectifications within the time limit, penalties shall be imposed for more than RMB5,000 and less than RMB10,000 per person.</w:t>
      </w:r>
    </w:p>
    <w:p>
      <w:pPr>
        <w:spacing w:after="0" w:line="2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Social Insurance and Housing Provision</w:t>
      </w:r>
    </w:p>
    <w:p>
      <w:pPr>
        <w:spacing w:after="0" w:line="109" w:lineRule="exact"/>
        <w:rPr>
          <w:sz w:val="20"/>
          <w:szCs w:val="20"/>
          <w:color w:val="auto"/>
        </w:rPr>
      </w:pPr>
    </w:p>
    <w:p>
      <w:pPr>
        <w:ind w:left="700" w:right="100" w:firstLine="393"/>
        <w:spacing w:after="0" w:line="254" w:lineRule="auto"/>
        <w:rPr>
          <w:sz w:val="20"/>
          <w:szCs w:val="20"/>
          <w:color w:val="auto"/>
        </w:rPr>
      </w:pPr>
      <w:r>
        <w:rPr>
          <w:rFonts w:ascii="Times New Roman" w:cs="Times New Roman" w:eastAsia="Times New Roman" w:hAnsi="Times New Roman"/>
          <w:sz w:val="16"/>
          <w:szCs w:val="16"/>
          <w:color w:val="auto"/>
        </w:rPr>
        <w:t>Pursuant to the Work-related Injury Insurance Regulations effective on January 1, 2004, and amended on December 20, 2010, by the State Council, and Provisional Measures for Enterprise Employee Birth Insurance released on December 14, 1994, by Labor Ministry (now the Ministry of Human Resources and Social Security), the Decision on the Establishment of Unified Basic Pension System for Enterprise Employees released on July 16, 1997, by the State Council, the Decision on the Establishment of Basic Medical Insurance System for Urban Employees promulgated by the State Council on December 14, 1998, the Regulations on Unemployment Insurance released by the State Council on January 22, 1999, the Provisional Regulations on the Collection and Payment of Social Insurance Premiums released by the State Council on January 22, 1999, and revised on March 24, 2019, and the Social Insurance Law of the PRC effective on July 1, 2011, and amended on December 29, 2018, by the SCNPC, employer should purchase social insurance policies for its employees, including basic pension policy, basic medical insurance policy, unemployment insurance policy, maternity insurance policy and work-related injury insurance policy. Employer failing to make timely and full payment for social insurance for its employees shall be demanded by social security authority of jurisdiction to furnish payment plus the late fee within designated time period. If such employer shall fail to make up for the late fee within designated time period, related administrative department shall impose punitive measures on the employer.</w:t>
      </w:r>
    </w:p>
    <w:p>
      <w:pPr>
        <w:spacing w:after="0" w:line="170" w:lineRule="exact"/>
        <w:rPr>
          <w:sz w:val="20"/>
          <w:szCs w:val="20"/>
          <w:color w:val="auto"/>
        </w:rPr>
      </w:pPr>
    </w:p>
    <w:p>
      <w:pPr>
        <w:ind w:left="700" w:right="240" w:firstLine="393"/>
        <w:spacing w:after="0" w:line="262" w:lineRule="auto"/>
        <w:rPr>
          <w:sz w:val="20"/>
          <w:szCs w:val="20"/>
          <w:color w:val="auto"/>
        </w:rPr>
      </w:pPr>
      <w:r>
        <w:rPr>
          <w:rFonts w:ascii="Times New Roman" w:cs="Times New Roman" w:eastAsia="Times New Roman" w:hAnsi="Times New Roman"/>
          <w:sz w:val="16"/>
          <w:szCs w:val="16"/>
          <w:color w:val="auto"/>
        </w:rPr>
        <w:t>Pursuant to Regulations on Housing Provision Regulations released in 1999 and amended on March 24, 2002, and March 24, 2019 by the State Council, enterprises should file for housing provision payment registration with the Housing Provision Management Center, and set up housing provision account for employees at trusted bank after audited by the Housing Provision Management Center. Enterprises should make timely and full payment for the employee housing provision.</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114</w:t>
      </w:r>
    </w:p>
    <w:p>
      <w:pPr>
        <w:sectPr>
          <w:pgSz w:w="11900" w:h="16838" w:orient="portrait"/>
          <w:cols w:equalWidth="0" w:num="1">
            <w:col w:w="10540"/>
          </w:cols>
          <w:pgMar w:left="320" w:top="447" w:right="10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1100" w:hanging="393"/>
        <w:spacing w:after="0"/>
        <w:tabs>
          <w:tab w:leader="none" w:pos="1100"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Organizational Structure</w:t>
      </w:r>
    </w:p>
    <w:p>
      <w:pPr>
        <w:spacing w:after="0" w:line="107"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The following diagram illustrates our current corporate structure, which includes our significant subsidiaries, the VIE and its material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116840</wp:posOffset>
            </wp:positionV>
            <wp:extent cx="5501640" cy="3703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0164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Note:</w:t>
      </w:r>
    </w:p>
    <w:p>
      <w:pPr>
        <w:spacing w:after="0" w:line="117" w:lineRule="exact"/>
        <w:rPr>
          <w:sz w:val="20"/>
          <w:szCs w:val="20"/>
          <w:color w:val="auto"/>
        </w:rPr>
      </w:pPr>
    </w:p>
    <w:p>
      <w:pPr>
        <w:ind w:left="1100" w:right="60" w:hanging="393"/>
        <w:spacing w:after="0" w:line="262" w:lineRule="auto"/>
        <w:tabs>
          <w:tab w:leader="none" w:pos="11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of Shenzhen Huiye Tianze Investment Holding Co., Ltd., or Huiye Tianze, are: (1) Shenzhen Huidecheng Investment Development Limited Partnership and Shenzhen Huideli Consulting Management Limited Partnership, both as our PRC ESOP holding entities, holding an aggregate of 49.43% shares in Huiye Tianze; (2) PRC holding entities of the shareholders of our Cayman Islands holding company, holding an aggregate of 50.57% shares in Huiye Tianze.</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Contractual Arrangements with The VIE and Its Shareholders</w:t>
      </w:r>
    </w:p>
    <w:p>
      <w:pPr>
        <w:spacing w:after="0" w:line="107" w:lineRule="exact"/>
        <w:rPr>
          <w:sz w:val="20"/>
          <w:szCs w:val="20"/>
          <w:color w:val="auto"/>
        </w:rPr>
      </w:pPr>
    </w:p>
    <w:p>
      <w:pPr>
        <w:ind w:left="700" w:right="60" w:firstLine="393"/>
        <w:spacing w:after="0" w:line="256" w:lineRule="auto"/>
        <w:rPr>
          <w:sz w:val="20"/>
          <w:szCs w:val="20"/>
          <w:color w:val="auto"/>
        </w:rPr>
      </w:pPr>
      <w:r>
        <w:rPr>
          <w:rFonts w:ascii="Times New Roman" w:cs="Times New Roman" w:eastAsia="Times New Roman" w:hAnsi="Times New Roman"/>
          <w:sz w:val="16"/>
          <w:szCs w:val="16"/>
          <w:color w:val="auto"/>
        </w:rPr>
        <w:t>Due to the PRC legal restrictions on foreign ownership of internet-based businesses and qualification requirements on foreign investors in the insurance intermediary business, we rely on certain contractual arrangements with the VIE and its shareholders to conduct substantially all of our operations in China. These contractual arrangements allow us to exercise effective control over the VIE, receive substantially all of the economic benefits of the VIE and have an exclusive option to purchase all or part of the equity interests in the VIE when and to the extent permitted by PRC law. As a result of these contractual arrangements, we expect to be regarded as the primary beneficiary of the VIE, and we will accordingly treat it as a variable interest entity under U.S. GAAP. We will consolidate the financial results of the VIE and its subsidiaries in our consolidated financial statements in accordance with U.S. GAAP.</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115</w:t>
      </w:r>
    </w:p>
    <w:p>
      <w:pPr>
        <w:sectPr>
          <w:pgSz w:w="11900" w:h="16838" w:orient="portrait"/>
          <w:cols w:equalWidth="0" w:num="1">
            <w:col w:w="10480"/>
          </w:cols>
          <w:pgMar w:left="320" w:top="447" w:right="10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Below is a summary of the VIE contractual arrangements:</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Agreements that Provide us with Effective Control over the VIE</w:t>
      </w:r>
    </w:p>
    <w:p>
      <w:pPr>
        <w:spacing w:after="0" w:line="107" w:lineRule="exact"/>
        <w:rPr>
          <w:sz w:val="20"/>
          <w:szCs w:val="20"/>
          <w:color w:val="auto"/>
        </w:rPr>
      </w:pPr>
    </w:p>
    <w:p>
      <w:pPr>
        <w:ind w:left="700" w:right="60" w:firstLine="393"/>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Power of Attorney. </w:t>
      </w:r>
      <w:r>
        <w:rPr>
          <w:rFonts w:ascii="Times New Roman" w:cs="Times New Roman" w:eastAsia="Times New Roman" w:hAnsi="Times New Roman"/>
          <w:sz w:val="16"/>
          <w:szCs w:val="16"/>
          <w:color w:val="auto"/>
        </w:rPr>
        <w:t>On June 6, 2019, each shareholder of the VIE signed a Power of Attorney, pursuant to which each shareholder of the VIE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irrevocably authorized our WFOE or any person designated by our WFOE to act as its attorney-in-fact to exercise all of its rights as a shareholder of the VIE, including but not limited to the right to convene and attend shareholders’ meetings, sell, transfer or pledge any of the VIE’s assets, vote on any resolution that requires a shareholder vote, such as the appointment of legal representative, directors, and officers, as well as other shareholders’ voting rights permitted by the articles of association of the VIE. The shareholders’ power of attorney will remain effective until the earlier of (i) the date on which the shareholders are no longer registered shareholders of the VIE; (ii) the expiration date of the VIE; or (iii) the expiration date of term of operation after it has been legally extended (if any), unless otherwise instructed by our WFOE in writing.</w:t>
      </w:r>
    </w:p>
    <w:p>
      <w:pPr>
        <w:spacing w:after="0" w:line="163" w:lineRule="exact"/>
        <w:rPr>
          <w:sz w:val="20"/>
          <w:szCs w:val="20"/>
          <w:color w:val="auto"/>
        </w:rPr>
      </w:pPr>
    </w:p>
    <w:p>
      <w:pPr>
        <w:ind w:left="700" w:right="20" w:firstLine="393"/>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Equity Pledge Agreement. </w:t>
      </w:r>
      <w:r>
        <w:rPr>
          <w:rFonts w:ascii="Times New Roman" w:cs="Times New Roman" w:eastAsia="Times New Roman" w:hAnsi="Times New Roman"/>
          <w:sz w:val="16"/>
          <w:szCs w:val="16"/>
          <w:color w:val="auto"/>
        </w:rPr>
        <w:t>On June 6, 2019, our WFOE entered into an equity pledge agreement with the VIE and its shareholders. Pursuant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equity pledge agreement, the shareholders of the VIE have pledged the 100% equity interests in the VIE to our WFOE to guarantee performance by the shareholders of their obligations under the exclusive business cooperation agreement, exclusive option and equity custody agreement and power of attorney, or together referred to as the “Cooperation Agreements.” In the event of a breach by the VIE or any of its shareholders of contractual obligations under the Cooperation Agreements or the equity pledge agreement, our WFOE, as pledgee, will have the right to dispose of the pledged equity interests in the VIE and will have priority in receiving the proceeds from such disposal. The VIE and its shareholders also undertake that, without the prior written consent of our WFOE, the shareholders of the VIE will not dispose of, create or allow any encumbrance on the pledged equity interests. The equity pledge agreement will remain effective until the earlier of (i) the date on which all obligations secured have been fully paid; or (ii) the date on which the pledgors transfer all equity interests in Huiye Tianze and our WFOE is entitled to operate our business as permitted under applicable PRC law. As of the date of this annual report, we have completed the registration of such equity pledges with relevant governmental authority.</w:t>
      </w: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Agreement that Allows us to Receive Economic Benefits from the VIE</w:t>
      </w:r>
    </w:p>
    <w:p>
      <w:pPr>
        <w:spacing w:after="0" w:line="107" w:lineRule="exact"/>
        <w:rPr>
          <w:sz w:val="20"/>
          <w:szCs w:val="20"/>
          <w:color w:val="auto"/>
        </w:rPr>
      </w:pPr>
    </w:p>
    <w:p>
      <w:pPr>
        <w:ind w:left="700" w:right="80" w:firstLine="393"/>
        <w:spacing w:after="0" w:line="255" w:lineRule="auto"/>
        <w:rPr>
          <w:sz w:val="20"/>
          <w:szCs w:val="20"/>
          <w:color w:val="auto"/>
        </w:rPr>
      </w:pPr>
      <w:r>
        <w:rPr>
          <w:rFonts w:ascii="Times New Roman" w:cs="Times New Roman" w:eastAsia="Times New Roman" w:hAnsi="Times New Roman"/>
          <w:sz w:val="16"/>
          <w:szCs w:val="16"/>
          <w:i w:val="1"/>
          <w:iCs w:val="1"/>
          <w:color w:val="auto"/>
        </w:rPr>
        <w:t>Exclusive Business Cooperation Agreement</w:t>
      </w:r>
      <w:r>
        <w:rPr>
          <w:rFonts w:ascii="Times New Roman" w:cs="Times New Roman" w:eastAsia="Times New Roman" w:hAnsi="Times New Roman"/>
          <w:sz w:val="16"/>
          <w:szCs w:val="16"/>
          <w:color w:val="auto"/>
        </w:rPr>
        <w:t>. On June 6, 2019, our WFOE, the VIE and its shareholders entered into an exclusive business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cooperation agreement. Pursuant to the exclusive business cooperation agreement, our WFOE has the exclusive right to provide the VIE with comprehensive technology and business support as well as the relevant consultations services required by the business of the VIE, or to appoint a third party to provide the VIE with such services. The VIE agrees to pay our WFOE a quarterly service fee, which is at our WFOE’s discretion. Our WFOE has the exclusive ownership of all the intellectual property rights created as a result of the performance of the exclusive business cooperation agreement to the extent permitted by applicable PRC law. During the term of the agreements, the VIE shall not accept any consultations and/or services provided by any third party and shall not cooperate with any third party for the provision of identical or similar services without prior written consent of our WFOE. The exclusive business cooperation agreements will remain effective unless our WFOE exercises its exclusive option and is registered as the sole shareholder of the VIE or otherwise terminates the agreement.</w:t>
      </w:r>
    </w:p>
    <w:p>
      <w:pPr>
        <w:spacing w:after="0" w:line="2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Agreement that Provides us with the Option to Purchase the Equity Interests in and Assets of the VIE</w:t>
      </w:r>
    </w:p>
    <w:p>
      <w:pPr>
        <w:spacing w:after="0" w:line="107"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i w:val="1"/>
          <w:iCs w:val="1"/>
          <w:color w:val="auto"/>
        </w:rPr>
        <w:t>Exclusive Option and Equity Custody Agreement</w:t>
      </w:r>
      <w:r>
        <w:rPr>
          <w:rFonts w:ascii="Times New Roman" w:cs="Times New Roman" w:eastAsia="Times New Roman" w:hAnsi="Times New Roman"/>
          <w:sz w:val="16"/>
          <w:szCs w:val="16"/>
          <w:color w:val="auto"/>
        </w:rPr>
        <w:t>. On June 6, 2019, our WFOE entered into exclusive option and equity custody agreements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VIE and its shareholders. Pursuant to the exclusive option and equity custody agreement, each of the shareholders of the VIE has irrevocably granted our WFOE an exclusive option to purchase, or have its designated third party to purchase, at its discretion, to the extent permitted under PRC law, all or part of his or its equity interests in the VIE and/or the assets that the VIE holds. Our WFOE or any third party designated by our WFOE may exercise such options at the price of RMB1, or minimum price as required by PRC laws and regulations when our WFOE or any third party designated by our WFOE exercises such options. If such price exceeds RMB1, the VIE’s shareholders shall return the excess portion to our WFOE. The shareholders of the VIE irrevocably and without consideration granted our WFOE to take custody of their shares in the VIE, where our WFOE holds and may exercise all shareholder’s rights of the VIE. The exclusive option and equity custody agreement will remain effective until all equity interests in the VIE and assets of the VIE have been transferred to our WFOE or its designated third party and registered under our WFOE or its designated third party or until our WFOE terminates the agreement unilaterally with ten days prior written notice.</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116</w:t>
      </w:r>
    </w:p>
    <w:p>
      <w:pPr>
        <w:sectPr>
          <w:pgSz w:w="11900" w:h="16838" w:orient="portrait"/>
          <w:cols w:equalWidth="0" w:num="1">
            <w:col w:w="10540"/>
          </w:cols>
          <w:pgMar w:left="320" w:top="447" w:right="10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In the opinion of Commerce &amp; Finance Law Offices, our PRC legal counsel:</w:t>
      </w:r>
    </w:p>
    <w:p>
      <w:pPr>
        <w:spacing w:after="0" w:line="117" w:lineRule="exact"/>
        <w:rPr>
          <w:sz w:val="20"/>
          <w:szCs w:val="20"/>
          <w:color w:val="auto"/>
        </w:rPr>
      </w:pPr>
    </w:p>
    <w:p>
      <w:pPr>
        <w:ind w:left="1580" w:right="420" w:hanging="391"/>
        <w:spacing w:after="0" w:line="284" w:lineRule="auto"/>
        <w:tabs>
          <w:tab w:leader="none" w:pos="15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ownership structures of the VIE in China and our WFOE are not in violation of applicable PRC laws and regulations currently in effect; and</w:t>
      </w:r>
    </w:p>
    <w:p>
      <w:pPr>
        <w:spacing w:after="0" w:line="58" w:lineRule="exact"/>
        <w:rPr>
          <w:rFonts w:ascii="Times New Roman" w:cs="Times New Roman" w:eastAsia="Times New Roman" w:hAnsi="Times New Roman"/>
          <w:sz w:val="16"/>
          <w:szCs w:val="16"/>
          <w:color w:val="auto"/>
        </w:rPr>
      </w:pPr>
    </w:p>
    <w:p>
      <w:pPr>
        <w:ind w:left="1580" w:right="140" w:hanging="391"/>
        <w:spacing w:after="0" w:line="267" w:lineRule="auto"/>
        <w:tabs>
          <w:tab w:leader="none" w:pos="15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contractual arrangements among our WFOE, the VIE and its shareholders governed by PRC law are currently valid and binding in accordance with applicable PRC laws and regulations currently in effect, and do not result in any violation of the applicable PRC laws or regulations currently in effect.</w:t>
      </w:r>
    </w:p>
    <w:p>
      <w:pPr>
        <w:spacing w:after="0" w:line="157"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 It is uncertain whether any new PRC laws or regulations relating to variable interest entity structures will be adopted or if adopted, what they would provide. If we or any of the VIE are found to be in violation of any existing or future PRC laws or regulations, or fail to obtain or maintain any of the required permits or approvals, the relevant PRC regulatory authorities would have broad discretion to take action in dealing with such violations or failures. See “Item 3. Key Information—D. Risk Factors—Risks Relating to Our Corporate Structure— If the PRC government finds that the agreements that establish the structure for operating certain of our operations in China do not comply with PRC regulations relating to insurance brokerage, insurance agent and the relevant industries, or if these regulations or the interpretation of existing regulations change in the future, we could be subject to severe penalties or be forced to relinquish our interests in those operations..”</w:t>
      </w:r>
    </w:p>
    <w:p>
      <w:pPr>
        <w:spacing w:after="0" w:line="299" w:lineRule="exact"/>
        <w:rPr>
          <w:sz w:val="20"/>
          <w:szCs w:val="20"/>
          <w:color w:val="auto"/>
        </w:rPr>
      </w:pPr>
    </w:p>
    <w:p>
      <w:pPr>
        <w:ind w:left="1180" w:hanging="473"/>
        <w:spacing w:after="0"/>
        <w:tabs>
          <w:tab w:leader="none" w:pos="1180" w:val="left"/>
        </w:tabs>
        <w:numPr>
          <w:ilvl w:val="0"/>
          <w:numId w:val="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Plants and Equipment</w:t>
      </w:r>
    </w:p>
    <w:p>
      <w:pPr>
        <w:spacing w:after="0" w:line="107" w:lineRule="exact"/>
        <w:rPr>
          <w:sz w:val="20"/>
          <w:szCs w:val="20"/>
          <w:color w:val="auto"/>
        </w:rPr>
      </w:pPr>
    </w:p>
    <w:p>
      <w:pPr>
        <w:ind w:left="700" w:right="240" w:firstLine="393"/>
        <w:spacing w:after="0" w:line="262" w:lineRule="auto"/>
        <w:rPr>
          <w:sz w:val="20"/>
          <w:szCs w:val="20"/>
          <w:color w:val="auto"/>
        </w:rPr>
      </w:pPr>
      <w:r>
        <w:rPr>
          <w:rFonts w:ascii="Times New Roman" w:cs="Times New Roman" w:eastAsia="Times New Roman" w:hAnsi="Times New Roman"/>
          <w:sz w:val="16"/>
          <w:szCs w:val="16"/>
          <w:color w:val="auto"/>
        </w:rPr>
        <w:t>Our corporate headquarter is located in Shenzhen, China. We lease office spaces in Shenzhen, Hefei, Chengdu, Beijing, Shanghai, Guangzhou, Nanjing, Suzhou, Zhengzhou, Xi’an, Hangzhou, Wuhan, Wuxi, Quanzhou, Nanchang, Huhehaote, Changchun, Shijiazhuang and Hong Kong from unrelated third parties under operating lease agreements, and we do not hold any facilities of our own. We believe that our existing facilities are generally adequate to meet our current needs, but we expect to seek additional space as needed to accommodate future growth.</w:t>
      </w:r>
    </w:p>
    <w:p>
      <w:pPr>
        <w:spacing w:after="0" w:line="291"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4.A.</w:t>
      </w:r>
      <w:r>
        <w:rPr>
          <w:sz w:val="20"/>
          <w:szCs w:val="20"/>
          <w:color w:val="auto"/>
        </w:rPr>
        <w:tab/>
      </w:r>
      <w:r>
        <w:rPr>
          <w:rFonts w:ascii="Times New Roman" w:cs="Times New Roman" w:eastAsia="Times New Roman" w:hAnsi="Times New Roman"/>
          <w:sz w:val="15"/>
          <w:szCs w:val="15"/>
          <w:b w:val="1"/>
          <w:bCs w:val="1"/>
          <w:color w:val="auto"/>
        </w:rPr>
        <w:t>UNRESOLVED STAFF COMMENTS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Not applicable.</w:t>
      </w:r>
    </w:p>
    <w:p>
      <w:pPr>
        <w:spacing w:after="0" w:line="332"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OPERATING AND FINANCIAL REVIEW AND PROSPECTS</w:t>
      </w:r>
    </w:p>
    <w:p>
      <w:pPr>
        <w:spacing w:after="0" w:line="107" w:lineRule="exact"/>
        <w:rPr>
          <w:sz w:val="20"/>
          <w:szCs w:val="20"/>
          <w:color w:val="auto"/>
        </w:rPr>
      </w:pPr>
    </w:p>
    <w:p>
      <w:pPr>
        <w:ind w:left="700" w:right="440" w:firstLine="393"/>
        <w:spacing w:after="0" w:line="259" w:lineRule="auto"/>
        <w:rPr>
          <w:sz w:val="20"/>
          <w:szCs w:val="20"/>
          <w:color w:val="auto"/>
        </w:rPr>
      </w:pPr>
      <w:r>
        <w:rPr>
          <w:rFonts w:ascii="Times New Roman" w:cs="Times New Roman" w:eastAsia="Times New Roman" w:hAnsi="Times New Roman"/>
          <w:sz w:val="16"/>
          <w:szCs w:val="16"/>
          <w:color w:val="auto"/>
        </w:rPr>
        <w:t>The following discussion of our financial condition and results of operations is based upon and should be read in conjunction with our consolidated financial statements and their related notes included elsewhere in this annual report. This annual report contains forward-looking statements. See “Forward-Looking Information” on page 3 of this annual report.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spacing w:after="0" w:line="295" w:lineRule="exact"/>
        <w:rPr>
          <w:sz w:val="20"/>
          <w:szCs w:val="20"/>
          <w:color w:val="auto"/>
        </w:rPr>
      </w:pPr>
    </w:p>
    <w:p>
      <w:pPr>
        <w:ind w:left="1100" w:hanging="393"/>
        <w:spacing w:after="0"/>
        <w:tabs>
          <w:tab w:leader="none" w:pos="1100" w:val="left"/>
        </w:tabs>
        <w:numPr>
          <w:ilvl w:val="0"/>
          <w:numId w:val="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Operating Results</w:t>
      </w:r>
    </w:p>
    <w:p>
      <w:pPr>
        <w:spacing w:after="0" w:line="1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Key Factors Affecting Our Results of Operations</w:t>
      </w:r>
    </w:p>
    <w:p>
      <w:pPr>
        <w:spacing w:after="0" w:line="107"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Our results of operations and financial condition are affected by the general factors affecting China’s online insurance industry, including, among others, (i) China’s overall economic growth, (ii) the increase in per capita disposable income, (iii) regulatory changes, (iv) the rising awareness of insurance and demand for insurance products, and (v) the competitive environment in China. In particular, we operate in a highly regulated industry. The PRC government has not adopted a clear regulatory framework governing the emerging and rapidly evolving online insurance industry, and we expect that the regulatory framework will continue to evolve for some time to come. Regulatory changes will affect the general growth as well as the competitive landscape of the market. Staying in compliance with the regulatory requirements may result in diversion of our management team’s attention and increased operational costs and expenses. Our ability to execute our strategies and make adjustments when necessary in a cost-efficient manner in the changing regulatory environment is key to our future growth. Unfavorable changes in any of these general factors could materially and adversely affect our results of operations.</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117</w:t>
      </w:r>
    </w:p>
    <w:p>
      <w:pPr>
        <w:sectPr>
          <w:pgSz w:w="11900" w:h="16838" w:orient="portrait"/>
          <w:cols w:equalWidth="0" w:num="1">
            <w:col w:w="10520"/>
          </w:cols>
          <w:pgMar w:left="320" w:top="447" w:right="10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While our business is influenced by general factors affecting our industry, our results of operations are more directly affected by company-specific factors, including the following major factors:</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Offering of a Distinguishable and Popular Insurance Product Mix</w:t>
      </w:r>
    </w:p>
    <w:p>
      <w:pPr>
        <w:spacing w:after="0" w:line="109" w:lineRule="exact"/>
        <w:rPr>
          <w:sz w:val="20"/>
          <w:szCs w:val="20"/>
          <w:color w:val="auto"/>
        </w:rPr>
      </w:pPr>
    </w:p>
    <w:p>
      <w:pPr>
        <w:ind w:left="700" w:right="160" w:firstLine="393"/>
        <w:spacing w:after="0" w:line="259" w:lineRule="auto"/>
        <w:rPr>
          <w:sz w:val="20"/>
          <w:szCs w:val="20"/>
          <w:color w:val="auto"/>
        </w:rPr>
      </w:pPr>
      <w:r>
        <w:rPr>
          <w:rFonts w:ascii="Times New Roman" w:cs="Times New Roman" w:eastAsia="Times New Roman" w:hAnsi="Times New Roman"/>
          <w:sz w:val="16"/>
          <w:szCs w:val="16"/>
          <w:color w:val="auto"/>
        </w:rPr>
        <w:t>We primarily generate revenues from earning brokerage income by distributing insurance products underwritten by our insurer partners. We currently distribute two major categories of insurance products on our platform: (i) life and health insurance products, including long-term health insurance products, short-term health insurance products, annuity insurance products and other life insurance products; (ii) property &amp; casualty insurance products, including travel insurance products, individual casualty insurance products and corporate insurance products. Between the two categories, life and health insurance products accounted for 95.6%, 96.5% and 95.4% of the GWP we facilitated in 2020, 2021 and 2022, respectively.</w:t>
      </w:r>
    </w:p>
    <w:p>
      <w:pPr>
        <w:spacing w:after="0" w:line="164"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The insurance brokerage commission fees we charge are typically based on a percentage of the premiums paid by our insurance clients. Most life and health insurance policies we sell require periodic payment of premiums, typically annually, during a pre-determined payment period, generally ranging from three to 30 years. For such insurance policies we sell, insurer partners pay us a first-year commission based on a percentage of the first year premiums, and subsequent commissions based on a smaller percentage of the renewal premiums paid by the insurance clients in the subsequent one to four years. Therefore, life and health insurance products bring us a steady flow of brokerage income during the payment period of the first two to five years as long as the insurance clients meet their payment commitments. Moreover, the commission fee rates our insurer partners pay us for the life and health insurance products are generally higher than those of property &amp; casualty insurance products.</w:t>
      </w:r>
    </w:p>
    <w:p>
      <w:pPr>
        <w:spacing w:after="0" w:line="169" w:lineRule="exact"/>
        <w:rPr>
          <w:sz w:val="20"/>
          <w:szCs w:val="20"/>
          <w:color w:val="auto"/>
        </w:rPr>
      </w:pPr>
    </w:p>
    <w:p>
      <w:pPr>
        <w:ind w:left="700" w:right="140" w:firstLine="393"/>
        <w:spacing w:after="0" w:line="259" w:lineRule="auto"/>
        <w:rPr>
          <w:sz w:val="20"/>
          <w:szCs w:val="20"/>
          <w:color w:val="auto"/>
        </w:rPr>
      </w:pPr>
      <w:r>
        <w:rPr>
          <w:rFonts w:ascii="Times New Roman" w:cs="Times New Roman" w:eastAsia="Times New Roman" w:hAnsi="Times New Roman"/>
          <w:sz w:val="16"/>
          <w:szCs w:val="16"/>
          <w:color w:val="auto"/>
        </w:rPr>
        <w:t>We believe that with the rising insurance awareness in China, insurance clients favor customized insurance products that cater to their personalized protection needs. We stay abreast of market trends and have deep insights in unmet needs of insurance clients. To address such needs, we cooperate with our insurer partners to design and develop tailor-made insurance products, which contribute significantly to the GWP we facilitate, and further, to our revenues from commission fees. In 2022, approximately 64.8% of the GWP facilitated through our platform were contributed by tailor-made insurance products that we developed together with our insurer partners.</w:t>
      </w:r>
    </w:p>
    <w:p>
      <w:pPr>
        <w:spacing w:after="0" w:line="2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Expansion of Our Insurance Client Base</w:t>
      </w:r>
    </w:p>
    <w:p>
      <w:pPr>
        <w:spacing w:after="0" w:line="109" w:lineRule="exact"/>
        <w:rPr>
          <w:sz w:val="20"/>
          <w:szCs w:val="20"/>
          <w:color w:val="auto"/>
        </w:rPr>
      </w:pPr>
    </w:p>
    <w:p>
      <w:pPr>
        <w:ind w:left="700" w:right="60" w:firstLine="393"/>
        <w:spacing w:after="0" w:line="254" w:lineRule="auto"/>
        <w:rPr>
          <w:sz w:val="20"/>
          <w:szCs w:val="20"/>
          <w:color w:val="auto"/>
        </w:rPr>
      </w:pPr>
      <w:r>
        <w:rPr>
          <w:rFonts w:ascii="Times New Roman" w:cs="Times New Roman" w:eastAsia="Times New Roman" w:hAnsi="Times New Roman"/>
          <w:sz w:val="16"/>
          <w:szCs w:val="16"/>
          <w:color w:val="auto"/>
        </w:rPr>
        <w:t>Although we generate our revenues primarily from fees that we charge our insurer partners, their demand for our brokerage services largely depends on our ability to help them reach and sell insurance products to insurance clients. Therefore, the size and composition of our insurance client base on our platform significantly affect our revenues and results of operations. We need to maintain a large and loyal client base with an emphasis on younger generation who could bring us stable, long-term revenues. We maintain various client acquisition channels. To acquire direct client traffic, we conduct product marketing, user education and brand advertising. We also invest in our insurance consulting capabilities to improve client conversion rate. In addition, we partner with a large number of user traffic channels who have considerable influence over their users’ insurance purchase decisions and we pay them service fees for directing client traffic to our platform. We need to continuously raise our brand awareness through both our own marketing team and our user traffic channels. We have incurred significant expenses and devoted considerable resources to marketing activities and client acquisition as we have grown our business, and we expect to continue to incur such expenses as we grow. To improve profitability, we need to further enhance our client acquisition efficiency, particularly in accurate advertising and selecting and engaging effective distribution channels leveraging our big data analytics capabilities, in order to expand our client base in a cost-effective manner.</w:t>
      </w:r>
    </w:p>
    <w:p>
      <w:pPr>
        <w:spacing w:after="0" w:line="1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118</w:t>
      </w:r>
    </w:p>
    <w:p>
      <w:pPr>
        <w:sectPr>
          <w:pgSz w:w="11900" w:h="16838" w:orient="portrait"/>
          <w:cols w:equalWidth="0" w:num="1">
            <w:col w:w="10520"/>
          </w:cols>
          <w:pgMar w:left="320" w:top="447" w:right="10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Operating Efficiency of Our Platform</w:t>
      </w:r>
    </w:p>
    <w:p>
      <w:pPr>
        <w:spacing w:after="0" w:line="109"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We have incurred significant costs and expenses in building our platform, growing our client base and developing capabilities in data analytics and technology. Our business model is highly scalable and our platform is built to support our continued growth. While we expect our operating costs and expenses to increase in absolute terms as our business expands, we also expect them to decrease as a proportion of our revenues as we improve the operating efficiency of our platform and achieve more economies of scale. We have expended significant costs and expenses in attracting and acquiring traffic to our platform, and converting such traffic into our insurance clients. We pay service fees to our user traffic channels, which is the largest component of our operating costs and expenses. We plan to carefully select influential user traffic channels and further optimize our client acquisition channels to reduce such operating costs as a percentage of our total revenues. For our own client acquisition efforts, we incur personnel costs, including base salaries and performance bonuses. In order to maintain and improve the operating efficiency of our platform, we should expand our client base efficiently without disproportionately adding our personnel costs. Furthermore, we have invested in accumulating and processing multi-dimensional client data and transaction data, and we plan to conduct in-depth analytics and analysis of client needs that will contribute to our client acquisition and conversion, product design and risk management capabilities, which in turn improves our overall operating margin.</w:t>
      </w:r>
    </w:p>
    <w:p>
      <w:pPr>
        <w:spacing w:after="0" w:line="2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Relationship with Our Insurer Partners</w:t>
      </w:r>
    </w:p>
    <w:p>
      <w:pPr>
        <w:spacing w:after="0" w:line="109" w:lineRule="exact"/>
        <w:rPr>
          <w:sz w:val="20"/>
          <w:szCs w:val="20"/>
          <w:color w:val="auto"/>
        </w:rPr>
      </w:pPr>
    </w:p>
    <w:p>
      <w:pPr>
        <w:ind w:left="700" w:right="120" w:firstLine="393"/>
        <w:spacing w:after="0" w:line="255" w:lineRule="auto"/>
        <w:rPr>
          <w:sz w:val="20"/>
          <w:szCs w:val="20"/>
          <w:color w:val="auto"/>
        </w:rPr>
      </w:pPr>
      <w:r>
        <w:rPr>
          <w:rFonts w:ascii="Times New Roman" w:cs="Times New Roman" w:eastAsia="Times New Roman" w:hAnsi="Times New Roman"/>
          <w:sz w:val="16"/>
          <w:szCs w:val="16"/>
          <w:color w:val="auto"/>
        </w:rPr>
        <w:t>As of December 31, 2022, we had effective contracts with 106 insurer partners, including 64 life and health insurance companies and 42 property &amp; casualty insurance companies. We cooperate with our insurer partners to offer their standard insurance products or to design and develop tailor-made insurance products. We need to keep the growth of our business, brand influence and risk management capabilities so as to strengthen the cooperation with our existing insurer partners while attracting more insurance companies to build cooperative relationships with us. Our growth will also allow us to hold stronger bargaining power and be able to negotiate favorable terms in our business cooperation with insurer partners. We plan to diversify and expand the number of insurer partners we work with to manage any potential concentration risk. Our five largest insurer partners in terms of operating revenue contribution aggregately accounted for 63.0%, 78.4% and 56.5% of our total operating revenue in 2020, 2021 and 2022, respectively. We plan to adjust the structure of insurer partners we work with to an extent that is suitable for our long-term growth, while exposes us to limited concentration risk.</w:t>
      </w:r>
    </w:p>
    <w:p>
      <w:pPr>
        <w:spacing w:after="0" w:line="169" w:lineRule="exact"/>
        <w:rPr>
          <w:sz w:val="20"/>
          <w:szCs w:val="20"/>
          <w:color w:val="auto"/>
        </w:rPr>
      </w:pPr>
    </w:p>
    <w:p>
      <w:pPr>
        <w:ind w:left="700" w:right="60" w:firstLine="393"/>
        <w:spacing w:after="0" w:line="259" w:lineRule="auto"/>
        <w:rPr>
          <w:sz w:val="20"/>
          <w:szCs w:val="20"/>
          <w:color w:val="auto"/>
        </w:rPr>
      </w:pPr>
      <w:r>
        <w:rPr>
          <w:rFonts w:ascii="Times New Roman" w:cs="Times New Roman" w:eastAsia="Times New Roman" w:hAnsi="Times New Roman"/>
          <w:sz w:val="16"/>
          <w:szCs w:val="16"/>
          <w:color w:val="auto"/>
        </w:rPr>
        <w:t>Furthermore, we need to ensure the quality of services we provide to insurer partners, including system integration, product design and development services, and risk management solutions to maintain their incentive to keep cooperating with us. We need to provide insurance clients with smooth insurance experience through our platform by offering a series of client services, including, among others, consulting service, intelligent underwriting service and claim application and settlement service. Client satisfaction and positive feedbacks from our insurance clients encourage our insurer partners to maintain and expand their cooperation with us.</w:t>
      </w:r>
    </w:p>
    <w:p>
      <w:pPr>
        <w:spacing w:after="0" w:line="2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Impact of COVID-19 on Our Operations and Financial Performance</w:t>
      </w:r>
    </w:p>
    <w:p>
      <w:pPr>
        <w:spacing w:after="0" w:line="107"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The majority of our revenues are derived from brokerage income from commission fees generated from facilitating sales of insurance products underwritten by our insurer partners through our platform. Our results of operations and financial condition in 2022 were affected by the COVID-19 pandemic, and may continue to be affected by the COVID-19 pandemic in 2023 and potentially beyond. COVID-19 has impact on China’s insurance industry in general and the distribution of insurance products of our company. The extent to which COVID-19 impacts our results of operations in the future will depend on the future developments of the pandemic, including new information concerning the global severity of and actions taken to contain the pandemic, which are highly uncertain and unpredictable. In addition, our results of operations could be adversely affected to the extent that the pandemic harms the Chinese and global economy in general. See “Item 3. Key Information—D. Risk Factors—Risks Relating to Our Business and Industry—Our business, financial condition and results of operations have been, and may continue to be, adversely affected by the COVID-19 pandemic.”</w:t>
      </w:r>
    </w:p>
    <w:p>
      <w:pPr>
        <w:spacing w:after="0" w:line="169" w:lineRule="exact"/>
        <w:rPr>
          <w:sz w:val="20"/>
          <w:szCs w:val="20"/>
          <w:color w:val="auto"/>
        </w:rPr>
      </w:pPr>
    </w:p>
    <w:p>
      <w:pPr>
        <w:ind w:left="700" w:right="20" w:firstLine="393"/>
        <w:spacing w:after="0" w:line="259" w:lineRule="auto"/>
        <w:rPr>
          <w:sz w:val="20"/>
          <w:szCs w:val="20"/>
          <w:color w:val="auto"/>
        </w:rPr>
      </w:pPr>
      <w:r>
        <w:rPr>
          <w:rFonts w:ascii="Times New Roman" w:cs="Times New Roman" w:eastAsia="Times New Roman" w:hAnsi="Times New Roman"/>
          <w:sz w:val="16"/>
          <w:szCs w:val="16"/>
          <w:color w:val="auto"/>
        </w:rPr>
        <w:t>The pandemic may adversely affect our insurer partners’ ability to provide insurance products at competitive prices, and our insurance clients’ disposable income to purchase insurance products, and may in turn affect our results of operations and financial conditions. We may also delay acting on new business initiatives due to the negative impact the pandemic has on the macroeconomic conditions and the insurance industry in China. Any of the above could in turn negatively affect our results of operation. We will pay close attention to the development of the COVID-19 pandemic, perform further assessment of its impact and take relevant measures to minimize the impact.</w:t>
      </w:r>
    </w:p>
    <w:p>
      <w:pPr>
        <w:spacing w:after="0" w:line="164" w:lineRule="exact"/>
        <w:rPr>
          <w:sz w:val="20"/>
          <w:szCs w:val="20"/>
          <w:color w:val="auto"/>
        </w:rPr>
      </w:pPr>
    </w:p>
    <w:p>
      <w:pPr>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As of December 31, 2022, we had RMB277.2 million (US$40.2 million) and RMB98.9 million (US$14.3 million) in cash and cash equivalents and restricted cash, respectively. Our cash and cash equivalents primarily consist of cash on hand, bank deposits and short-term, highly liquid investments that are readily convertible to known amounts of cash. Our restricted cash primarily consists of unremitted net insurance premiums, pledged deposits for the loan of two of our subsidiaries, and guarantee deposit.</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119</w:t>
      </w:r>
    </w:p>
    <w:p>
      <w:pPr>
        <w:sectPr>
          <w:pgSz w:w="11900" w:h="16838" w:orient="portrait"/>
          <w:cols w:equalWidth="0" w:num="1">
            <w:col w:w="10540"/>
          </w:cols>
          <w:pgMar w:left="320" w:top="447" w:right="10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40" w:firstLine="393"/>
        <w:spacing w:after="0" w:line="267" w:lineRule="auto"/>
        <w:rPr>
          <w:sz w:val="20"/>
          <w:szCs w:val="20"/>
          <w:color w:val="auto"/>
        </w:rPr>
      </w:pPr>
      <w:r>
        <w:rPr>
          <w:rFonts w:ascii="Times New Roman" w:cs="Times New Roman" w:eastAsia="Times New Roman" w:hAnsi="Times New Roman"/>
          <w:sz w:val="16"/>
          <w:szCs w:val="16"/>
          <w:color w:val="auto"/>
        </w:rPr>
        <w:t>We believe this level of liquidity is sufficient to successfully navigate an extended period of uncertainty. See also “Item 3. Key Information—D. Risk Factors—Risks Relating to Doing Business in China—We face risks related to natural disasters, health epidemics and other outbreaks, which could significantly disrupt our operations.”</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Key Operating Metrics</w:t>
      </w:r>
    </w:p>
    <w:p>
      <w:pPr>
        <w:spacing w:after="0" w:line="107" w:lineRule="exact"/>
        <w:rPr>
          <w:sz w:val="20"/>
          <w:szCs w:val="20"/>
          <w:color w:val="auto"/>
        </w:rPr>
      </w:pPr>
    </w:p>
    <w:p>
      <w:pPr>
        <w:ind w:left="700" w:right="540" w:firstLine="393"/>
        <w:spacing w:after="0" w:line="284" w:lineRule="auto"/>
        <w:rPr>
          <w:sz w:val="20"/>
          <w:szCs w:val="20"/>
          <w:color w:val="auto"/>
        </w:rPr>
      </w:pPr>
      <w:r>
        <w:rPr>
          <w:rFonts w:ascii="Times New Roman" w:cs="Times New Roman" w:eastAsia="Times New Roman" w:hAnsi="Times New Roman"/>
          <w:sz w:val="16"/>
          <w:szCs w:val="16"/>
          <w:color w:val="auto"/>
        </w:rPr>
        <w:t>We regularly review a number of operating metrics to evaluate our business, measure our performance, identify trends, formulate financial projections and make strategic decisions. The principal operating metrics we consider are set forth in the table below:</w:t>
      </w:r>
    </w:p>
    <w:p>
      <w:pPr>
        <w:spacing w:after="0" w:line="162" w:lineRule="exact"/>
        <w:rPr>
          <w:sz w:val="20"/>
          <w:szCs w:val="20"/>
          <w:color w:val="auto"/>
        </w:rPr>
      </w:pPr>
    </w:p>
    <w:tbl>
      <w:tblPr>
        <w:tblLayout w:type="fixed"/>
        <w:tblInd w:w="1500" w:type="dxa"/>
        <w:tblCellMar>
          <w:top w:w="0" w:type="dxa"/>
          <w:left w:w="0" w:type="dxa"/>
          <w:bottom w:w="0" w:type="dxa"/>
          <w:right w:w="0" w:type="dxa"/>
        </w:tblCellMar>
      </w:tblPr>
      <w:tr>
        <w:trPr>
          <w:trHeight w:val="155"/>
        </w:trPr>
        <w:tc>
          <w:tcPr>
            <w:tcW w:w="62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2020</w:t>
            </w:r>
          </w:p>
        </w:tc>
        <w:tc>
          <w:tcPr>
            <w:tcW w:w="2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Borders>
              <w:bottom w:val="single" w:sz="8" w:color="CCEEFF"/>
            </w:tcBorders>
          </w:tcPr>
          <w:p>
            <w:pPr>
              <w:spacing w:after="0"/>
              <w:rPr>
                <w:sz w:val="13"/>
                <w:szCs w:val="13"/>
                <w:color w:val="auto"/>
              </w:rPr>
            </w:pPr>
          </w:p>
        </w:tc>
      </w:tr>
      <w:tr>
        <w:trPr>
          <w:trHeight w:val="185"/>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Cumulative number of insurance clients (million)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60" w:type="dxa"/>
            <w:vAlign w:val="bottom"/>
            <w:shd w:val="clear" w:color="auto" w:fill="CCEEFF"/>
          </w:tcPr>
          <w:p>
            <w:pPr>
              <w:spacing w:after="0"/>
              <w:rPr>
                <w:sz w:val="16"/>
                <w:szCs w:val="16"/>
                <w:color w:val="auto"/>
              </w:rPr>
            </w:pPr>
          </w:p>
        </w:tc>
      </w:tr>
      <w:tr>
        <w:trPr>
          <w:trHeight w:val="193"/>
        </w:trPr>
        <w:tc>
          <w:tcPr>
            <w:tcW w:w="6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GWP facilitated (million RMB)</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3,019.9</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5,018.2</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4,907.9</w:t>
            </w:r>
          </w:p>
        </w:tc>
        <w:tc>
          <w:tcPr>
            <w:tcW w:w="60" w:type="dxa"/>
            <w:vAlign w:val="bottom"/>
          </w:tcPr>
          <w:p>
            <w:pPr>
              <w:spacing w:after="0"/>
              <w:rPr>
                <w:sz w:val="16"/>
                <w:szCs w:val="16"/>
                <w:color w:val="auto"/>
              </w:rPr>
            </w:pPr>
          </w:p>
        </w:tc>
      </w:tr>
      <w:tr>
        <w:trPr>
          <w:trHeight w:val="19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First year premiums (million RMB)</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1,567.9</w:t>
            </w: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3,123.8</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1,846.6</w:t>
            </w:r>
          </w:p>
        </w:tc>
        <w:tc>
          <w:tcPr>
            <w:tcW w:w="60" w:type="dxa"/>
            <w:vAlign w:val="bottom"/>
            <w:shd w:val="clear" w:color="auto" w:fill="CCEEFF"/>
          </w:tcPr>
          <w:p>
            <w:pPr>
              <w:spacing w:after="0"/>
              <w:rPr>
                <w:sz w:val="16"/>
                <w:szCs w:val="16"/>
                <w:color w:val="auto"/>
              </w:rPr>
            </w:pPr>
          </w:p>
        </w:tc>
      </w:tr>
      <w:tr>
        <w:trPr>
          <w:trHeight w:val="211"/>
        </w:trPr>
        <w:tc>
          <w:tcPr>
            <w:tcW w:w="6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Renewal premiums (million RMB)</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1,452.0</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1,894.4</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3,061.3</w:t>
            </w:r>
          </w:p>
        </w:tc>
        <w:tc>
          <w:tcPr>
            <w:tcW w:w="60" w:type="dxa"/>
            <w:vAlign w:val="bottom"/>
          </w:tcPr>
          <w:p>
            <w:pPr>
              <w:spacing w:after="0"/>
              <w:rPr>
                <w:sz w:val="18"/>
                <w:szCs w:val="18"/>
                <w:color w:val="auto"/>
              </w:rPr>
            </w:pPr>
          </w:p>
        </w:tc>
      </w:tr>
    </w:tbl>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Key Components of Our Results of Operations</w:t>
      </w:r>
    </w:p>
    <w:p>
      <w:pPr>
        <w:spacing w:after="0" w:line="1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107" w:lineRule="exact"/>
        <w:rPr>
          <w:sz w:val="20"/>
          <w:szCs w:val="20"/>
          <w:color w:val="auto"/>
        </w:rPr>
      </w:pPr>
    </w:p>
    <w:p>
      <w:pPr>
        <w:ind w:left="700" w:right="180" w:firstLine="393"/>
        <w:spacing w:after="0" w:line="267" w:lineRule="auto"/>
        <w:rPr>
          <w:sz w:val="20"/>
          <w:szCs w:val="20"/>
          <w:color w:val="auto"/>
        </w:rPr>
      </w:pPr>
      <w:r>
        <w:rPr>
          <w:rFonts w:ascii="Times New Roman" w:cs="Times New Roman" w:eastAsia="Times New Roman" w:hAnsi="Times New Roman"/>
          <w:sz w:val="16"/>
          <w:szCs w:val="16"/>
          <w:color w:val="auto"/>
        </w:rPr>
        <w:t>Our revenues are derived from providing insurance brokerage services to our insurer partners, and are comprised of brokerage income and other income. The following table sets forth the components of our revenues by amounts and percentages of our total operating revenue for the periods presented:</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155"/>
        </w:trPr>
        <w:tc>
          <w:tcPr>
            <w:tcW w:w="50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5"/>
        </w:trPr>
        <w:tc>
          <w:tcPr>
            <w:tcW w:w="5020" w:type="dxa"/>
            <w:vAlign w:val="bottom"/>
          </w:tcPr>
          <w:p>
            <w:pPr>
              <w:spacing w:after="0"/>
              <w:rPr>
                <w:sz w:val="10"/>
                <w:szCs w:val="10"/>
                <w:color w:val="auto"/>
              </w:rPr>
            </w:pPr>
          </w:p>
        </w:tc>
        <w:tc>
          <w:tcPr>
            <w:tcW w:w="840" w:type="dxa"/>
            <w:vAlign w:val="bottom"/>
            <w:tcBorders>
              <w:bottom w:val="single" w:sz="8" w:color="auto"/>
            </w:tcBorders>
            <w:gridSpan w:val="3"/>
          </w:tcPr>
          <w:p>
            <w:pPr>
              <w:jc w:val="right"/>
              <w:ind w:right="80"/>
              <w:spacing w:after="0" w:line="125" w:lineRule="exact"/>
              <w:rPr>
                <w:sz w:val="20"/>
                <w:szCs w:val="20"/>
                <w:color w:val="auto"/>
              </w:rPr>
            </w:pPr>
            <w:r>
              <w:rPr>
                <w:rFonts w:ascii="Times New Roman" w:cs="Times New Roman" w:eastAsia="Times New Roman" w:hAnsi="Times New Roman"/>
                <w:sz w:val="13"/>
                <w:szCs w:val="13"/>
                <w:b w:val="1"/>
                <w:bCs w:val="1"/>
                <w:color w:val="auto"/>
              </w:rPr>
              <w:t>2020</w:t>
            </w:r>
          </w:p>
        </w:tc>
        <w:tc>
          <w:tcPr>
            <w:tcW w:w="4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Borders>
              <w:bottom w:val="single" w:sz="8" w:color="auto"/>
            </w:tcBorders>
            <w:gridSpan w:val="2"/>
          </w:tcPr>
          <w:p>
            <w:pPr>
              <w:jc w:val="right"/>
              <w:ind w:right="80"/>
              <w:spacing w:after="0" w:line="125" w:lineRule="exact"/>
              <w:rPr>
                <w:sz w:val="20"/>
                <w:szCs w:val="20"/>
                <w:color w:val="auto"/>
              </w:rPr>
            </w:pPr>
            <w:r>
              <w:rPr>
                <w:rFonts w:ascii="Times New Roman" w:cs="Times New Roman" w:eastAsia="Times New Roman" w:hAnsi="Times New Roman"/>
                <w:sz w:val="13"/>
                <w:szCs w:val="13"/>
                <w:b w:val="1"/>
                <w:bCs w:val="1"/>
                <w:color w:val="auto"/>
              </w:rPr>
              <w:t>2021</w:t>
            </w:r>
          </w:p>
        </w:tc>
        <w:tc>
          <w:tcPr>
            <w:tcW w:w="4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24"/>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5020" w:type="dxa"/>
            <w:vAlign w:val="bottom"/>
          </w:tcPr>
          <w:p>
            <w:pPr>
              <w:spacing w:after="0"/>
              <w:rPr>
                <w:sz w:val="10"/>
                <w:szCs w:val="10"/>
                <w:color w:val="auto"/>
              </w:rPr>
            </w:pPr>
          </w:p>
        </w:tc>
        <w:tc>
          <w:tcPr>
            <w:tcW w:w="840" w:type="dxa"/>
            <w:vAlign w:val="bottom"/>
            <w:tcBorders>
              <w:bottom w:val="single" w:sz="8" w:color="auto"/>
            </w:tcBorders>
            <w:gridSpan w:val="3"/>
          </w:tcPr>
          <w:p>
            <w:pPr>
              <w:jc w:val="right"/>
              <w:ind w:right="34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20" w:type="dxa"/>
            <w:vAlign w:val="bottom"/>
            <w:tcBorders>
              <w:bottom w:val="single" w:sz="8" w:color="auto"/>
            </w:tcBorders>
          </w:tcPr>
          <w:p>
            <w:pPr>
              <w:jc w:val="right"/>
              <w:ind w:right="62"/>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ind w:right="34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20" w:type="dxa"/>
            <w:vAlign w:val="bottom"/>
            <w:tcBorders>
              <w:bottom w:val="single" w:sz="8" w:color="auto"/>
            </w:tcBorders>
          </w:tcPr>
          <w:p>
            <w:pPr>
              <w:jc w:val="right"/>
              <w:ind w:right="62"/>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ind w:left="20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720" w:type="dxa"/>
            <w:vAlign w:val="bottom"/>
            <w:tcBorders>
              <w:bottom w:val="single" w:sz="8" w:color="auto"/>
            </w:tcBorders>
            <w:gridSpan w:val="2"/>
          </w:tcPr>
          <w:p>
            <w:pPr>
              <w:ind w:left="180"/>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20" w:type="dxa"/>
            <w:vAlign w:val="bottom"/>
            <w:tcBorders>
              <w:bottom w:val="single" w:sz="8" w:color="auto"/>
            </w:tcBorders>
          </w:tcPr>
          <w:p>
            <w:pPr>
              <w:jc w:val="right"/>
              <w:ind w:right="62"/>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r>
      <w:tr>
        <w:trPr>
          <w:trHeight w:val="125"/>
        </w:trPr>
        <w:tc>
          <w:tcPr>
            <w:tcW w:w="5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40" w:type="dxa"/>
            <w:vAlign w:val="bottom"/>
            <w:gridSpan w:val="6"/>
          </w:tcPr>
          <w:p>
            <w:pPr>
              <w:jc w:val="center"/>
              <w:ind w:right="260"/>
              <w:spacing w:after="0" w:line="125" w:lineRule="exact"/>
              <w:rPr>
                <w:sz w:val="20"/>
                <w:szCs w:val="20"/>
                <w:color w:val="auto"/>
              </w:rPr>
            </w:pPr>
            <w:r>
              <w:rPr>
                <w:rFonts w:ascii="Times New Roman" w:cs="Times New Roman" w:eastAsia="Times New Roman" w:hAnsi="Times New Roman"/>
                <w:sz w:val="13"/>
                <w:szCs w:val="13"/>
                <w:color w:val="auto"/>
                <w:w w:val="98"/>
              </w:rPr>
              <w:t>(in thousands, except for percentages)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9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Brokerage income</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1,215,434</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99.6</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2,232,253</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99.4</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1,108,652</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160,739</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95.7</w:t>
            </w:r>
          </w:p>
        </w:tc>
      </w:tr>
      <w:tr>
        <w:trPr>
          <w:trHeight w:val="19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Life and health insurance business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1,166,118</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95.6</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2,170,767</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96.7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1,046,469</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151,723</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90.3</w:t>
            </w:r>
          </w:p>
        </w:tc>
      </w:tr>
      <w:tr>
        <w:trPr>
          <w:trHeight w:val="19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Property &amp; casualty insurance business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49,316</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61,486</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62,183</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9,016</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40" w:type="dxa"/>
            <w:vAlign w:val="bottom"/>
          </w:tcPr>
          <w:p>
            <w:pPr>
              <w:spacing w:after="0"/>
              <w:rPr>
                <w:sz w:val="16"/>
                <w:szCs w:val="16"/>
                <w:color w:val="auto"/>
              </w:rPr>
            </w:pPr>
          </w:p>
        </w:tc>
      </w:tr>
      <w:tr>
        <w:trPr>
          <w:trHeight w:val="19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4,788</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0.4</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12,763</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0.6</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49,256</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7,141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0" w:type="dxa"/>
            <w:vAlign w:val="bottom"/>
            <w:shd w:val="clear" w:color="auto" w:fill="CCEEFF"/>
          </w:tcPr>
          <w:p>
            <w:pPr>
              <w:spacing w:after="0"/>
              <w:rPr>
                <w:sz w:val="16"/>
                <w:szCs w:val="16"/>
                <w:color w:val="auto"/>
              </w:rPr>
            </w:pP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revenue</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1,220,222</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2,245,016</w:t>
            </w:r>
          </w:p>
        </w:tc>
        <w:tc>
          <w:tcPr>
            <w:tcW w:w="14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1,157,908</w:t>
            </w:r>
          </w:p>
        </w:tc>
        <w:tc>
          <w:tcPr>
            <w:tcW w:w="1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167,880</w:t>
            </w:r>
          </w:p>
        </w:tc>
        <w:tc>
          <w:tcPr>
            <w:tcW w:w="14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0" w:type="dxa"/>
            <w:vAlign w:val="bottom"/>
          </w:tcPr>
          <w:p>
            <w:pPr>
              <w:spacing w:after="0"/>
              <w:rPr>
                <w:sz w:val="17"/>
                <w:szCs w:val="17"/>
                <w:color w:val="auto"/>
              </w:rPr>
            </w:pPr>
          </w:p>
        </w:tc>
      </w:tr>
      <w:tr>
        <w:trPr>
          <w:trHeight w:val="20"/>
        </w:trPr>
        <w:tc>
          <w:tcPr>
            <w:tcW w:w="5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6" w:lineRule="exact"/>
        <w:rPr>
          <w:sz w:val="20"/>
          <w:szCs w:val="20"/>
          <w:color w:val="auto"/>
        </w:rPr>
      </w:pPr>
    </w:p>
    <w:p>
      <w:pPr>
        <w:ind w:left="700" w:right="20" w:firstLine="393"/>
        <w:spacing w:after="0" w:line="261" w:lineRule="auto"/>
        <w:rPr>
          <w:sz w:val="20"/>
          <w:szCs w:val="20"/>
          <w:color w:val="auto"/>
        </w:rPr>
      </w:pPr>
      <w:r>
        <w:rPr>
          <w:rFonts w:ascii="Times New Roman" w:cs="Times New Roman" w:eastAsia="Times New Roman" w:hAnsi="Times New Roman"/>
          <w:sz w:val="16"/>
          <w:szCs w:val="16"/>
          <w:i w:val="1"/>
          <w:iCs w:val="1"/>
          <w:color w:val="auto"/>
        </w:rPr>
        <w:t>Brokerage income</w:t>
      </w:r>
      <w:r>
        <w:rPr>
          <w:rFonts w:ascii="Times New Roman" w:cs="Times New Roman" w:eastAsia="Times New Roman" w:hAnsi="Times New Roman"/>
          <w:sz w:val="16"/>
          <w:szCs w:val="16"/>
          <w:color w:val="auto"/>
        </w:rPr>
        <w:t>. We derive brokerage income from commission fees generated from facilitating sales of insurance products underwritten by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insurer partners through our platform. We facilitate sales of two major types of insurance products on our platform: (i) life and health insurance products, including long-term health insurance products, short-term health insurance products, annuity insurance products and other life insurance products; (ii) property &amp; casualty insurance products, including travel insurance products, individual casualty insurance products and corporate insurance products.</w:t>
      </w:r>
    </w:p>
    <w:p>
      <w:pPr>
        <w:spacing w:after="0" w:line="359" w:lineRule="exact"/>
        <w:rPr>
          <w:sz w:val="20"/>
          <w:szCs w:val="20"/>
          <w:color w:val="auto"/>
        </w:rPr>
      </w:pPr>
    </w:p>
    <w:p>
      <w:pPr>
        <w:jc w:val="both"/>
        <w:ind w:left="700" w:right="140" w:firstLine="393"/>
        <w:spacing w:after="0" w:line="262" w:lineRule="auto"/>
        <w:rPr>
          <w:sz w:val="20"/>
          <w:szCs w:val="20"/>
          <w:color w:val="auto"/>
        </w:rPr>
      </w:pPr>
      <w:r>
        <w:rPr>
          <w:rFonts w:ascii="Times New Roman" w:cs="Times New Roman" w:eastAsia="Times New Roman" w:hAnsi="Times New Roman"/>
          <w:sz w:val="16"/>
          <w:szCs w:val="16"/>
          <w:color w:val="auto"/>
        </w:rPr>
        <w:t>The commission fees we receive are based on a percentage of the premiums our insurance clients pay our insurer partners. Commission fee rates generally depend on the type of insurance products and the particular insurer partners, and are subject to regulatory requirements. We typically receive payment of the commission fees from insurer partners on a monthly basis. Our brokerage income is recognized when the signed insurance policy is in place and the premiums is collected from our insurance clients.</w:t>
      </w:r>
    </w:p>
    <w:p>
      <w:pPr>
        <w:spacing w:after="0" w:line="161" w:lineRule="exact"/>
        <w:rPr>
          <w:sz w:val="20"/>
          <w:szCs w:val="20"/>
          <w:color w:val="auto"/>
        </w:rPr>
      </w:pPr>
    </w:p>
    <w:p>
      <w:pPr>
        <w:ind w:left="700" w:right="400" w:firstLine="393"/>
        <w:spacing w:after="0" w:line="262" w:lineRule="auto"/>
        <w:rPr>
          <w:sz w:val="20"/>
          <w:szCs w:val="20"/>
          <w:color w:val="auto"/>
        </w:rPr>
      </w:pPr>
      <w:r>
        <w:rPr>
          <w:rFonts w:ascii="Times New Roman" w:cs="Times New Roman" w:eastAsia="Times New Roman" w:hAnsi="Times New Roman"/>
          <w:sz w:val="16"/>
          <w:szCs w:val="16"/>
          <w:color w:val="auto"/>
        </w:rPr>
        <w:t>Commission fees earned from life and health insurance products have been our primary source of revenues in recent years. Commission fees earned from life and health insurance products accounted for 95.9%, 97.2% and 94.4% of our total brokerage income in 2020, 2021 and 2022, respectively. As we plan to enhance our focus on life and health insurance products, particularly long-term health insurance products and further improve our product design capabilities, we expect life and health insurance products to continue to be a major contributor to our revenues.</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120</w:t>
      </w:r>
    </w:p>
    <w:p>
      <w:pPr>
        <w:sectPr>
          <w:pgSz w:w="11900" w:h="16838" w:orient="portrait"/>
          <w:cols w:equalWidth="0" w:num="1">
            <w:col w:w="10540"/>
          </w:cols>
          <w:pgMar w:left="320" w:top="447" w:right="10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right="300" w:firstLine="393"/>
        <w:spacing w:after="0" w:line="286" w:lineRule="auto"/>
        <w:rPr>
          <w:sz w:val="20"/>
          <w:szCs w:val="20"/>
          <w:color w:val="auto"/>
        </w:rPr>
      </w:pPr>
      <w:r>
        <w:rPr>
          <w:rFonts w:ascii="Times New Roman" w:cs="Times New Roman" w:eastAsia="Times New Roman" w:hAnsi="Times New Roman"/>
          <w:sz w:val="16"/>
          <w:szCs w:val="16"/>
          <w:i w:val="1"/>
          <w:iCs w:val="1"/>
          <w:color w:val="auto"/>
        </w:rPr>
        <w:t>Other income</w:t>
      </w:r>
      <w:r>
        <w:rPr>
          <w:rFonts w:ascii="Times New Roman" w:cs="Times New Roman" w:eastAsia="Times New Roman" w:hAnsi="Times New Roman"/>
          <w:sz w:val="16"/>
          <w:szCs w:val="16"/>
          <w:color w:val="auto"/>
        </w:rPr>
        <w:t>. Other income primarily consists of service fees for consulting services. We provide consulting services before selling insurance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products to the insured.</w:t>
      </w:r>
    </w:p>
    <w:p>
      <w:pPr>
        <w:spacing w:after="0" w:line="2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Operating Costs and Expenses</w:t>
      </w:r>
    </w:p>
    <w:p>
      <w:pPr>
        <w:spacing w:after="0" w:line="109" w:lineRule="exact"/>
        <w:rPr>
          <w:sz w:val="20"/>
          <w:szCs w:val="20"/>
          <w:color w:val="auto"/>
        </w:rPr>
      </w:pPr>
    </w:p>
    <w:p>
      <w:pPr>
        <w:ind w:left="700" w:right="80" w:firstLine="393"/>
        <w:spacing w:after="0" w:line="267" w:lineRule="auto"/>
        <w:rPr>
          <w:sz w:val="20"/>
          <w:szCs w:val="20"/>
          <w:color w:val="auto"/>
        </w:rPr>
      </w:pPr>
      <w:r>
        <w:rPr>
          <w:rFonts w:ascii="Times New Roman" w:cs="Times New Roman" w:eastAsia="Times New Roman" w:hAnsi="Times New Roman"/>
          <w:sz w:val="16"/>
          <w:szCs w:val="16"/>
          <w:color w:val="auto"/>
        </w:rPr>
        <w:t>Operating costs and expenses consist primarily of cost of revenue, selling expenses, general and administrative expenses and research and development expenses. The following table sets forth the components of our operating expenses by amounts and percentages of total operating cost and expenses for the periods presented:</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155"/>
        </w:trPr>
        <w:tc>
          <w:tcPr>
            <w:tcW w:w="43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300" w:type="dxa"/>
            <w:vAlign w:val="bottom"/>
          </w:tcPr>
          <w:p>
            <w:pPr>
              <w:spacing w:after="0"/>
              <w:rPr>
                <w:sz w:val="10"/>
                <w:szCs w:val="10"/>
                <w:color w:val="auto"/>
              </w:rPr>
            </w:pPr>
          </w:p>
        </w:tc>
        <w:tc>
          <w:tcPr>
            <w:tcW w:w="940" w:type="dxa"/>
            <w:vAlign w:val="bottom"/>
            <w:tcBorders>
              <w:bottom w:val="single" w:sz="8" w:color="auto"/>
            </w:tcBorders>
            <w:gridSpan w:val="3"/>
          </w:tcPr>
          <w:p>
            <w:pPr>
              <w:jc w:val="right"/>
              <w:ind w:right="100"/>
              <w:spacing w:after="0" w:line="125" w:lineRule="exact"/>
              <w:rPr>
                <w:sz w:val="20"/>
                <w:szCs w:val="20"/>
                <w:color w:val="auto"/>
              </w:rPr>
            </w:pPr>
            <w:r>
              <w:rPr>
                <w:rFonts w:ascii="Times New Roman" w:cs="Times New Roman" w:eastAsia="Times New Roman" w:hAnsi="Times New Roman"/>
                <w:sz w:val="13"/>
                <w:szCs w:val="13"/>
                <w:b w:val="1"/>
                <w:bCs w:val="1"/>
                <w:color w:val="auto"/>
              </w:rPr>
              <w:t>2020</w:t>
            </w:r>
          </w:p>
        </w:tc>
        <w:tc>
          <w:tcPr>
            <w:tcW w:w="4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Borders>
              <w:bottom w:val="single" w:sz="8" w:color="auto"/>
            </w:tcBorders>
            <w:gridSpan w:val="2"/>
          </w:tcPr>
          <w:p>
            <w:pPr>
              <w:jc w:val="right"/>
              <w:ind w:right="40"/>
              <w:spacing w:after="0" w:line="125" w:lineRule="exact"/>
              <w:rPr>
                <w:sz w:val="20"/>
                <w:szCs w:val="20"/>
                <w:color w:val="auto"/>
              </w:rPr>
            </w:pPr>
            <w:r>
              <w:rPr>
                <w:rFonts w:ascii="Times New Roman" w:cs="Times New Roman" w:eastAsia="Times New Roman" w:hAnsi="Times New Roman"/>
                <w:sz w:val="13"/>
                <w:szCs w:val="13"/>
                <w:b w:val="1"/>
                <w:bCs w:val="1"/>
                <w:color w:val="auto"/>
              </w:rPr>
              <w:t>2021</w:t>
            </w:r>
          </w:p>
        </w:tc>
        <w:tc>
          <w:tcPr>
            <w:tcW w:w="4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3"/>
              <w:spacing w:after="0" w:line="125" w:lineRule="exact"/>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300" w:type="dxa"/>
            <w:vAlign w:val="bottom"/>
          </w:tcPr>
          <w:p>
            <w:pPr>
              <w:spacing w:after="0"/>
              <w:rPr>
                <w:sz w:val="10"/>
                <w:szCs w:val="10"/>
                <w:color w:val="auto"/>
              </w:rPr>
            </w:pPr>
          </w:p>
        </w:tc>
        <w:tc>
          <w:tcPr>
            <w:tcW w:w="940" w:type="dxa"/>
            <w:vAlign w:val="bottom"/>
            <w:tcBorders>
              <w:bottom w:val="single" w:sz="8" w:color="auto"/>
            </w:tcBorders>
            <w:gridSpan w:val="3"/>
          </w:tcPr>
          <w:p>
            <w:pPr>
              <w:jc w:val="right"/>
              <w:ind w:right="40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80" w:type="dxa"/>
            <w:vAlign w:val="bottom"/>
            <w:tcBorders>
              <w:bottom w:val="single" w:sz="8" w:color="auto"/>
            </w:tcBorders>
          </w:tcPr>
          <w:p>
            <w:pPr>
              <w:jc w:val="right"/>
              <w:ind w:right="102"/>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34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34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820" w:type="dxa"/>
            <w:vAlign w:val="bottom"/>
            <w:tcBorders>
              <w:bottom w:val="single" w:sz="8" w:color="auto"/>
            </w:tcBorders>
            <w:gridSpan w:val="2"/>
          </w:tcPr>
          <w:p>
            <w:pPr>
              <w:jc w:val="right"/>
              <w:ind w:right="320"/>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60" w:type="dxa"/>
            <w:vAlign w:val="bottom"/>
            <w:tcBorders>
              <w:bottom w:val="single" w:sz="8" w:color="auto"/>
            </w:tcBorders>
          </w:tcPr>
          <w:p>
            <w:pPr>
              <w:jc w:val="right"/>
              <w:ind w:right="82"/>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40" w:type="dxa"/>
            <w:vAlign w:val="bottom"/>
            <w:gridSpan w:val="6"/>
          </w:tcPr>
          <w:p>
            <w:pPr>
              <w:jc w:val="right"/>
              <w:ind w:right="320"/>
              <w:spacing w:after="0" w:line="125" w:lineRule="exact"/>
              <w:rPr>
                <w:sz w:val="20"/>
                <w:szCs w:val="20"/>
                <w:color w:val="auto"/>
              </w:rPr>
            </w:pPr>
            <w:r>
              <w:rPr>
                <w:rFonts w:ascii="Times New Roman" w:cs="Times New Roman" w:eastAsia="Times New Roman" w:hAnsi="Times New Roman"/>
                <w:sz w:val="13"/>
                <w:szCs w:val="13"/>
                <w:b w:val="1"/>
                <w:bCs w:val="1"/>
                <w:color w:val="auto"/>
              </w:rPr>
              <w:t>(in thousands, except for percentages)</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(813,507)</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(65.3)</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(1,688,087)</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(71.5)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(706,009)</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(102,361)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cost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(2,846)</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(2,670)</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(28,282)</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(4,101)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operating costs</w:t>
            </w: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vMerge w:val="continue"/>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(816,353)</w:t>
            </w:r>
          </w:p>
        </w:tc>
        <w:tc>
          <w:tcPr>
            <w:tcW w:w="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(65.5)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(1,690,757)</w:t>
            </w:r>
          </w:p>
        </w:tc>
        <w:tc>
          <w:tcPr>
            <w:tcW w:w="200" w:type="dxa"/>
            <w:vAlign w:val="bottom"/>
            <w:vMerge w:val="continue"/>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(71.6)</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(734,291)</w:t>
            </w:r>
          </w:p>
        </w:tc>
        <w:tc>
          <w:tcPr>
            <w:tcW w:w="200" w:type="dxa"/>
            <w:vAlign w:val="bottom"/>
            <w:vMerge w:val="continue"/>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(106,462)</w:t>
            </w:r>
          </w:p>
        </w:tc>
        <w:tc>
          <w:tcPr>
            <w:tcW w:w="200" w:type="dxa"/>
            <w:vAlign w:val="bottom"/>
            <w:vMerge w:val="continue"/>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expenses</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(230,438)</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(350,573)</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(231,664)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(33,588)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193"/>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(150,207)</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(12.1)</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(197,619)</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(8.4)</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(154,715)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(22,432)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(49,135)</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(120,478)</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(80,911)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(11,731)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operating costs and expenses</w:t>
            </w:r>
          </w:p>
        </w:tc>
        <w:tc>
          <w:tcPr>
            <w:tcW w:w="76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4300" w:type="dxa"/>
            <w:vAlign w:val="bottom"/>
            <w:vMerge w:val="continue"/>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(1,246,133</w:t>
            </w:r>
          </w:p>
        </w:tc>
        <w:tc>
          <w:tcPr>
            <w:tcW w:w="180" w:type="dxa"/>
            <w:vAlign w:val="bottom"/>
            <w:gridSpan w:val="2"/>
            <w:vMerge w:val="continue"/>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(2,359,427</w:t>
            </w:r>
          </w:p>
        </w:tc>
        <w:tc>
          <w:tcPr>
            <w:tcW w:w="200" w:type="dxa"/>
            <w:vAlign w:val="bottom"/>
            <w:vMerge w:val="continue"/>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(100.0)</w:t>
            </w:r>
          </w:p>
        </w:tc>
        <w:tc>
          <w:tcPr>
            <w:tcW w:w="200" w:type="dxa"/>
            <w:vAlign w:val="bottom"/>
            <w:vMerge w:val="continue"/>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(1,201,581</w:t>
            </w:r>
          </w:p>
        </w:tc>
        <w:tc>
          <w:tcPr>
            <w:tcW w:w="200" w:type="dxa"/>
            <w:vAlign w:val="bottom"/>
            <w:vMerge w:val="continue"/>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(174,213</w:t>
            </w:r>
          </w:p>
        </w:tc>
        <w:tc>
          <w:tcPr>
            <w:tcW w:w="200" w:type="dxa"/>
            <w:vAlign w:val="bottom"/>
            <w:vMerge w:val="continue"/>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r>
              <w:rPr>
                <w:rFonts w:ascii="Times New Roman" w:cs="Times New Roman" w:eastAsia="Times New Roman" w:hAnsi="Times New Roman"/>
                <w:sz w:val="16"/>
                <w:szCs w:val="16"/>
                <w:b w:val="1"/>
                <w:bCs w:val="1"/>
                <w:color w:val="auto"/>
              </w:rPr>
              <w:t>.0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00" w:right="140" w:firstLine="393"/>
        <w:spacing w:after="0" w:line="257" w:lineRule="auto"/>
        <w:rPr>
          <w:sz w:val="20"/>
          <w:szCs w:val="20"/>
          <w:color w:val="auto"/>
        </w:rPr>
      </w:pPr>
      <w:r>
        <w:rPr>
          <w:rFonts w:ascii="Times New Roman" w:cs="Times New Roman" w:eastAsia="Times New Roman" w:hAnsi="Times New Roman"/>
          <w:sz w:val="16"/>
          <w:szCs w:val="16"/>
          <w:i w:val="1"/>
          <w:iCs w:val="1"/>
          <w:color w:val="auto"/>
        </w:rPr>
        <w:t>Cost of revenue</w:t>
      </w:r>
      <w:r>
        <w:rPr>
          <w:rFonts w:ascii="Times New Roman" w:cs="Times New Roman" w:eastAsia="Times New Roman" w:hAnsi="Times New Roman"/>
          <w:sz w:val="16"/>
          <w:szCs w:val="16"/>
          <w:color w:val="auto"/>
        </w:rPr>
        <w:t>. Cost of revenue primarily consists of (i) channel cost, which is service fees paid to our user traffic channels, including social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media influencers and financial institutions under our indirect marketing, and (ii) personnel costs related to our insurance consultants, including base salaries and performance bonuses under our direct marketing. We expect our cost of revenue to increase in absolute terms as our scale of business grows. However, as we expect to attract a larger portion of our client base with our brand influence, we plan to carefully select user traffic channels we work with to achieve better client acquisition results, and we will further improve client acquisition efficiency of each insurance consultant through enhanced training programs and increased application of big data technologies. We expect our cost of revenue as a percentage of our total revenue will decrease.</w:t>
      </w:r>
    </w:p>
    <w:p>
      <w:pPr>
        <w:spacing w:after="0" w:line="163" w:lineRule="exact"/>
        <w:rPr>
          <w:sz w:val="20"/>
          <w:szCs w:val="20"/>
          <w:color w:val="auto"/>
        </w:rPr>
      </w:pPr>
    </w:p>
    <w:p>
      <w:pPr>
        <w:ind w:left="700" w:right="20" w:firstLine="393"/>
        <w:spacing w:after="0" w:line="286" w:lineRule="auto"/>
        <w:rPr>
          <w:sz w:val="20"/>
          <w:szCs w:val="20"/>
          <w:color w:val="auto"/>
        </w:rPr>
      </w:pPr>
      <w:r>
        <w:rPr>
          <w:rFonts w:ascii="Times New Roman" w:cs="Times New Roman" w:eastAsia="Times New Roman" w:hAnsi="Times New Roman"/>
          <w:sz w:val="16"/>
          <w:szCs w:val="16"/>
          <w:i w:val="1"/>
          <w:iCs w:val="1"/>
          <w:color w:val="auto"/>
        </w:rPr>
        <w:t>Other cost</w:t>
      </w:r>
      <w:r>
        <w:rPr>
          <w:rFonts w:ascii="Times New Roman" w:cs="Times New Roman" w:eastAsia="Times New Roman" w:hAnsi="Times New Roman"/>
          <w:sz w:val="16"/>
          <w:szCs w:val="16"/>
          <w:color w:val="auto"/>
        </w:rPr>
        <w:t>. Our other cost primarily consists of non-labor cost for our business, such as office leasing cost. We expect our other cost to be stable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foreseeable future as we plan to control our non-labor cost.</w:t>
      </w:r>
    </w:p>
    <w:p>
      <w:pPr>
        <w:spacing w:after="0" w:line="140" w:lineRule="exact"/>
        <w:rPr>
          <w:sz w:val="20"/>
          <w:szCs w:val="20"/>
          <w:color w:val="auto"/>
        </w:rPr>
      </w:pPr>
    </w:p>
    <w:p>
      <w:pPr>
        <w:ind w:left="700" w:right="160" w:firstLine="393"/>
        <w:spacing w:after="0" w:line="263" w:lineRule="auto"/>
        <w:rPr>
          <w:sz w:val="20"/>
          <w:szCs w:val="20"/>
          <w:color w:val="auto"/>
        </w:rPr>
      </w:pPr>
      <w:r>
        <w:rPr>
          <w:rFonts w:ascii="Times New Roman" w:cs="Times New Roman" w:eastAsia="Times New Roman" w:hAnsi="Times New Roman"/>
          <w:sz w:val="16"/>
          <w:szCs w:val="16"/>
          <w:i w:val="1"/>
          <w:iCs w:val="1"/>
          <w:color w:val="auto"/>
        </w:rPr>
        <w:t>Selling expenses</w:t>
      </w:r>
      <w:r>
        <w:rPr>
          <w:rFonts w:ascii="Times New Roman" w:cs="Times New Roman" w:eastAsia="Times New Roman" w:hAnsi="Times New Roman"/>
          <w:sz w:val="16"/>
          <w:szCs w:val="16"/>
          <w:color w:val="auto"/>
        </w:rPr>
        <w:t>. Our selling expenses primarily consist of (i) salaries and employment benefits for sales related personnel, including sales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marketing team, product management team and client service team for both indirect and direct marketing, (ii) advertising and marketing expenses, and</w:t>
      </w:r>
    </w:p>
    <w:p>
      <w:pPr>
        <w:spacing w:after="0" w:line="1" w:lineRule="exact"/>
        <w:rPr>
          <w:sz w:val="20"/>
          <w:szCs w:val="20"/>
          <w:color w:val="auto"/>
        </w:rPr>
      </w:pPr>
    </w:p>
    <w:p>
      <w:pPr>
        <w:ind w:left="700" w:right="160" w:firstLine="7"/>
        <w:spacing w:after="0" w:line="257" w:lineRule="auto"/>
        <w:tabs>
          <w:tab w:leader="none" w:pos="981"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rental and utilities expenses, office expenses and traveling expenses incurred in connection with sales activities. We expect our selling expenses to increase in absolute amounts in the foreseeable future as we seek to enhance our insurance service capabilities and increase our brand awareness, and decrease as a percentage of our total operating costs and expenses due to improved economies of scale.</w:t>
      </w:r>
    </w:p>
    <w:p>
      <w:pPr>
        <w:spacing w:after="0" w:line="162" w:lineRule="exact"/>
        <w:rPr>
          <w:sz w:val="20"/>
          <w:szCs w:val="20"/>
          <w:color w:val="auto"/>
        </w:rPr>
      </w:pPr>
    </w:p>
    <w:p>
      <w:pPr>
        <w:ind w:left="700" w:right="60" w:firstLine="393"/>
        <w:spacing w:after="0" w:line="260" w:lineRule="auto"/>
        <w:rPr>
          <w:sz w:val="20"/>
          <w:szCs w:val="20"/>
          <w:color w:val="auto"/>
        </w:rPr>
      </w:pPr>
      <w:r>
        <w:rPr>
          <w:rFonts w:ascii="Times New Roman" w:cs="Times New Roman" w:eastAsia="Times New Roman" w:hAnsi="Times New Roman"/>
          <w:sz w:val="16"/>
          <w:szCs w:val="16"/>
          <w:i w:val="1"/>
          <w:iCs w:val="1"/>
          <w:color w:val="auto"/>
        </w:rPr>
        <w:t>General and administrative expenses</w:t>
      </w:r>
      <w:r>
        <w:rPr>
          <w:rFonts w:ascii="Times New Roman" w:cs="Times New Roman" w:eastAsia="Times New Roman" w:hAnsi="Times New Roman"/>
          <w:sz w:val="16"/>
          <w:szCs w:val="16"/>
          <w:color w:val="auto"/>
        </w:rPr>
        <w:t>. Our general and administrative expenses primarily consist of (i) payroll and related expenses for employees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involved in general corporate functions and costs associated with the use of facilities and equipment by these functions, and (ii) professional service expenses in relation to our initial public offering, surcharge from value-added tax, office expenses, rental and utilities expenses and share-based compensation expenses. We expect our general and administrative expenses to increase in absolute amounts in the foreseeable future due to the anticipated growth of our business as well as costs associated with being a public company.</w:t>
      </w:r>
    </w:p>
    <w:p>
      <w:pPr>
        <w:spacing w:after="0" w:line="160"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i w:val="1"/>
          <w:iCs w:val="1"/>
          <w:color w:val="auto"/>
        </w:rPr>
        <w:t>Research and development expenses</w:t>
      </w:r>
      <w:r>
        <w:rPr>
          <w:rFonts w:ascii="Times New Roman" w:cs="Times New Roman" w:eastAsia="Times New Roman" w:hAnsi="Times New Roman"/>
          <w:sz w:val="16"/>
          <w:szCs w:val="16"/>
          <w:color w:val="auto"/>
        </w:rPr>
        <w:t>. Our research and development expenses primarily consist of payroll and related expenses of research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development personnel. We expect our research and development expenses to increase in absolute amounts in the foreseeable future, as we plan to continue to recruit and retain qualified research and development personnel to further improve our operational efficiency and to enhance our technology infrastructure in order to support the growth of our business. Specifically, we intend to continue to invest in our system supporting intelligent underwriting, policy management and claim settlement services and our IT system, and the expenses incurred therefrom will be recorded as research and development expenses.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121</w:t>
      </w:r>
    </w:p>
    <w:p>
      <w:pPr>
        <w:sectPr>
          <w:pgSz w:w="11900" w:h="16838" w:orient="portrait"/>
          <w:cols w:equalWidth="0" w:num="1">
            <w:col w:w="10540"/>
          </w:cols>
          <w:pgMar w:left="320" w:top="447" w:right="10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07" w:lineRule="exact"/>
        <w:rPr>
          <w:sz w:val="20"/>
          <w:szCs w:val="20"/>
          <w:color w:val="auto"/>
        </w:rPr>
      </w:pPr>
    </w:p>
    <w:p>
      <w:pPr>
        <w:ind w:left="700" w:right="240" w:firstLine="393"/>
        <w:spacing w:after="0" w:line="267" w:lineRule="auto"/>
        <w:rPr>
          <w:sz w:val="20"/>
          <w:szCs w:val="20"/>
          <w:color w:val="auto"/>
        </w:rPr>
      </w:pPr>
      <w:r>
        <w:rPr>
          <w:rFonts w:ascii="Times New Roman" w:cs="Times New Roman" w:eastAsia="Times New Roman" w:hAnsi="Times New Roman"/>
          <w:sz w:val="16"/>
          <w:szCs w:val="16"/>
          <w:color w:val="auto"/>
        </w:rPr>
        <w:t>The following table sets forth a summary of our consolidated results of operations for the periods presented, both in absolute amount and as a percentage of our total operating revenue for the years presented. This information should be read together with our consolidated financial statements and related notes included elsewhere in this annual report. The results of operations in any period are not necessarily indicative of our future trends.</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155"/>
        </w:trPr>
        <w:tc>
          <w:tcPr>
            <w:tcW w:w="43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300" w:type="dxa"/>
            <w:vAlign w:val="bottom"/>
          </w:tcPr>
          <w:p>
            <w:pPr>
              <w:spacing w:after="0"/>
              <w:rPr>
                <w:sz w:val="10"/>
                <w:szCs w:val="10"/>
                <w:color w:val="auto"/>
              </w:rPr>
            </w:pPr>
          </w:p>
        </w:tc>
        <w:tc>
          <w:tcPr>
            <w:tcW w:w="940" w:type="dxa"/>
            <w:vAlign w:val="bottom"/>
            <w:tcBorders>
              <w:bottom w:val="single" w:sz="8" w:color="auto"/>
            </w:tcBorders>
            <w:gridSpan w:val="2"/>
          </w:tcPr>
          <w:p>
            <w:pPr>
              <w:jc w:val="right"/>
              <w:ind w:right="20"/>
              <w:spacing w:after="0" w:line="125" w:lineRule="exact"/>
              <w:rPr>
                <w:sz w:val="20"/>
                <w:szCs w:val="20"/>
                <w:color w:val="auto"/>
              </w:rPr>
            </w:pPr>
            <w:r>
              <w:rPr>
                <w:rFonts w:ascii="Times New Roman" w:cs="Times New Roman" w:eastAsia="Times New Roman" w:hAnsi="Times New Roman"/>
                <w:sz w:val="13"/>
                <w:szCs w:val="13"/>
                <w:b w:val="1"/>
                <w:bCs w:val="1"/>
                <w:color w:val="auto"/>
              </w:rPr>
              <w:t>2020</w:t>
            </w:r>
          </w:p>
        </w:tc>
        <w:tc>
          <w:tcPr>
            <w:tcW w:w="4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Borders>
              <w:bottom w:val="single" w:sz="8" w:color="auto"/>
            </w:tcBorders>
            <w:gridSpan w:val="2"/>
          </w:tcPr>
          <w:p>
            <w:pPr>
              <w:jc w:val="right"/>
              <w:ind w:right="40"/>
              <w:spacing w:after="0" w:line="125" w:lineRule="exact"/>
              <w:rPr>
                <w:sz w:val="20"/>
                <w:szCs w:val="20"/>
                <w:color w:val="auto"/>
              </w:rPr>
            </w:pPr>
            <w:r>
              <w:rPr>
                <w:rFonts w:ascii="Times New Roman" w:cs="Times New Roman" w:eastAsia="Times New Roman" w:hAnsi="Times New Roman"/>
                <w:sz w:val="13"/>
                <w:szCs w:val="13"/>
                <w:b w:val="1"/>
                <w:bCs w:val="1"/>
                <w:color w:val="auto"/>
              </w:rPr>
              <w:t>2021</w:t>
            </w:r>
          </w:p>
        </w:tc>
        <w:tc>
          <w:tcPr>
            <w:tcW w:w="4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1"/>
              <w:spacing w:after="0" w:line="125" w:lineRule="exact"/>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300" w:type="dxa"/>
            <w:vAlign w:val="bottom"/>
          </w:tcPr>
          <w:p>
            <w:pPr>
              <w:spacing w:after="0"/>
              <w:rPr>
                <w:sz w:val="10"/>
                <w:szCs w:val="10"/>
                <w:color w:val="auto"/>
              </w:rPr>
            </w:pPr>
          </w:p>
        </w:tc>
        <w:tc>
          <w:tcPr>
            <w:tcW w:w="940" w:type="dxa"/>
            <w:vAlign w:val="bottom"/>
            <w:tcBorders>
              <w:bottom w:val="single" w:sz="8" w:color="auto"/>
            </w:tcBorders>
            <w:gridSpan w:val="2"/>
          </w:tcPr>
          <w:p>
            <w:pPr>
              <w:jc w:val="right"/>
              <w:ind w:right="32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80" w:type="dxa"/>
            <w:vAlign w:val="bottom"/>
            <w:tcBorders>
              <w:bottom w:val="single" w:sz="8" w:color="auto"/>
            </w:tcBorders>
          </w:tcPr>
          <w:p>
            <w:pPr>
              <w:jc w:val="right"/>
              <w:ind w:right="101"/>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34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60" w:type="dxa"/>
            <w:vAlign w:val="bottom"/>
            <w:tcBorders>
              <w:bottom w:val="single" w:sz="8" w:color="auto"/>
            </w:tcBorders>
          </w:tcPr>
          <w:p>
            <w:pPr>
              <w:jc w:val="right"/>
              <w:ind w:right="8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34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820" w:type="dxa"/>
            <w:vAlign w:val="bottom"/>
            <w:tcBorders>
              <w:bottom w:val="single" w:sz="8" w:color="auto"/>
            </w:tcBorders>
            <w:gridSpan w:val="2"/>
          </w:tcPr>
          <w:p>
            <w:pPr>
              <w:jc w:val="right"/>
              <w:ind w:right="320"/>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60" w:type="dxa"/>
            <w:vAlign w:val="bottom"/>
            <w:tcBorders>
              <w:bottom w:val="single" w:sz="8" w:color="auto"/>
            </w:tcBorders>
          </w:tcPr>
          <w:p>
            <w:pPr>
              <w:jc w:val="right"/>
              <w:ind w:right="8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40" w:type="dxa"/>
            <w:vAlign w:val="bottom"/>
            <w:gridSpan w:val="10"/>
          </w:tcPr>
          <w:p>
            <w:pPr>
              <w:jc w:val="right"/>
              <w:ind w:right="420"/>
              <w:spacing w:after="0" w:line="125" w:lineRule="exact"/>
              <w:rPr>
                <w:sz w:val="20"/>
                <w:szCs w:val="20"/>
                <w:color w:val="auto"/>
              </w:rPr>
            </w:pPr>
            <w:r>
              <w:rPr>
                <w:rFonts w:ascii="Times New Roman" w:cs="Times New Roman" w:eastAsia="Times New Roman" w:hAnsi="Times New Roman"/>
                <w:sz w:val="13"/>
                <w:szCs w:val="13"/>
                <w:b w:val="1"/>
                <w:bCs w:val="1"/>
                <w:color w:val="auto"/>
                <w:w w:val="99"/>
              </w:rPr>
              <w:t>(in thousands, except for percentages, share and per share data)</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Brokerage income</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1,215,434</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99.6</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2,232,253</w:t>
            </w:r>
          </w:p>
        </w:tc>
        <w:tc>
          <w:tcPr>
            <w:tcW w:w="20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99.4</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1,108,652</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160,739</w:t>
            </w:r>
          </w:p>
        </w:tc>
        <w:tc>
          <w:tcPr>
            <w:tcW w:w="20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95.7</w:t>
            </w: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4,788</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0.4</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12,763</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0.6</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49,256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w:t>
            </w: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revenue</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1,220,222</w:t>
            </w:r>
          </w:p>
        </w:tc>
        <w:tc>
          <w:tcPr>
            <w:tcW w:w="1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2,245,016</w:t>
            </w:r>
          </w:p>
        </w:tc>
        <w:tc>
          <w:tcPr>
            <w:tcW w:w="2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1,157,908</w:t>
            </w:r>
          </w:p>
        </w:tc>
        <w:tc>
          <w:tcPr>
            <w:tcW w:w="2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167,880</w:t>
            </w:r>
          </w:p>
        </w:tc>
        <w:tc>
          <w:tcPr>
            <w:tcW w:w="2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00" w:type="dxa"/>
            <w:vAlign w:val="bottom"/>
          </w:tcPr>
          <w:p>
            <w:pPr>
              <w:spacing w:after="0" w:line="192" w:lineRule="exact"/>
              <w:rPr>
                <w:sz w:val="20"/>
                <w:szCs w:val="20"/>
                <w:color w:val="auto"/>
              </w:rPr>
            </w:pPr>
            <w:r>
              <w:rPr>
                <w:rFonts w:ascii="Times New Roman" w:cs="Times New Roman" w:eastAsia="Times New Roman" w:hAnsi="Times New Roman"/>
                <w:sz w:val="15"/>
                <w:szCs w:val="15"/>
                <w:color w:val="auto"/>
              </w:rPr>
              <w:t>Cost of revenue</w:t>
            </w:r>
            <w:r>
              <w:rPr>
                <w:rFonts w:ascii="Times New Roman" w:cs="Times New Roman" w:eastAsia="Times New Roman" w:hAnsi="Times New Roman"/>
                <w:sz w:val="22"/>
                <w:szCs w:val="22"/>
                <w:color w:val="auto"/>
                <w:vertAlign w:val="superscript"/>
              </w:rPr>
              <w:t>(1)</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(813,507)</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(66.7)</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(1,688,087)</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(75.2)</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(706,009)</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(102,361)</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cost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(2,846)</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(2,670)</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(28,282)</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(4,101)</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operating costs</w:t>
            </w: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vMerge w:val="continue"/>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(816,353)</w:t>
            </w:r>
          </w:p>
        </w:tc>
        <w:tc>
          <w:tcPr>
            <w:tcW w:w="180" w:type="dxa"/>
            <w:vAlign w:val="bottom"/>
            <w:vMerge w:val="continue"/>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(66.9)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(1,690,757)</w:t>
            </w:r>
          </w:p>
        </w:tc>
        <w:tc>
          <w:tcPr>
            <w:tcW w:w="200" w:type="dxa"/>
            <w:vAlign w:val="bottom"/>
            <w:vMerge w:val="continue"/>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(75.3)</w:t>
            </w:r>
          </w:p>
        </w:tc>
        <w:tc>
          <w:tcPr>
            <w:tcW w:w="200" w:type="dxa"/>
            <w:vAlign w:val="bottom"/>
            <w:vMerge w:val="continue"/>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(734,291)</w:t>
            </w:r>
          </w:p>
        </w:tc>
        <w:tc>
          <w:tcPr>
            <w:tcW w:w="200" w:type="dxa"/>
            <w:vAlign w:val="bottom"/>
            <w:vMerge w:val="continue"/>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(106,462)</w:t>
            </w:r>
          </w:p>
        </w:tc>
        <w:tc>
          <w:tcPr>
            <w:tcW w:w="200" w:type="dxa"/>
            <w:vAlign w:val="bottom"/>
            <w:vMerge w:val="continue"/>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5"/>
                <w:szCs w:val="15"/>
                <w:color w:val="auto"/>
              </w:rPr>
              <w:t>Selling expenses</w:t>
            </w:r>
            <w:r>
              <w:rPr>
                <w:rFonts w:ascii="Times New Roman" w:cs="Times New Roman" w:eastAsia="Times New Roman" w:hAnsi="Times New Roman"/>
                <w:sz w:val="22"/>
                <w:szCs w:val="22"/>
                <w:color w:val="auto"/>
                <w:vertAlign w:val="superscript"/>
              </w:rPr>
              <w:t>(1)</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(230,438)</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(350,573)</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(15.6)</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(231,664)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(33,588)</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193"/>
        </w:trPr>
        <w:tc>
          <w:tcPr>
            <w:tcW w:w="4300" w:type="dxa"/>
            <w:vAlign w:val="bottom"/>
          </w:tcPr>
          <w:p>
            <w:pPr>
              <w:spacing w:after="0" w:line="192" w:lineRule="exact"/>
              <w:rPr>
                <w:sz w:val="20"/>
                <w:szCs w:val="20"/>
                <w:color w:val="auto"/>
              </w:rPr>
            </w:pPr>
            <w:r>
              <w:rPr>
                <w:rFonts w:ascii="Times New Roman" w:cs="Times New Roman" w:eastAsia="Times New Roman" w:hAnsi="Times New Roman"/>
                <w:sz w:val="15"/>
                <w:szCs w:val="15"/>
                <w:color w:val="auto"/>
              </w:rPr>
              <w:t>General and administrative expenses</w:t>
            </w:r>
            <w:r>
              <w:rPr>
                <w:rFonts w:ascii="Times New Roman" w:cs="Times New Roman" w:eastAsia="Times New Roman" w:hAnsi="Times New Roman"/>
                <w:sz w:val="22"/>
                <w:szCs w:val="22"/>
                <w:color w:val="auto"/>
                <w:vertAlign w:val="superscript"/>
              </w:rPr>
              <w:t>(1)</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(150,207)</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(12.3)</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(197,619)</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(154,715)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(22,432)</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5"/>
                <w:szCs w:val="15"/>
                <w:color w:val="auto"/>
              </w:rPr>
              <w:t>Research and development expenses</w:t>
            </w:r>
            <w:r>
              <w:rPr>
                <w:rFonts w:ascii="Times New Roman" w:cs="Times New Roman" w:eastAsia="Times New Roman" w:hAnsi="Times New Roman"/>
                <w:sz w:val="22"/>
                <w:szCs w:val="22"/>
                <w:color w:val="auto"/>
                <w:vertAlign w:val="superscript"/>
              </w:rPr>
              <w:t>(1)</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(49,135)</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(120,478)</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(80,911)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(11,731)</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costs and expenses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(1,246,133</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(102.1)</w:t>
            </w: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(2,359,427</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(105.1)</w:t>
            </w: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(1,201,581</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(174,213</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(103.8)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(loss)/profit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(25,911)</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(114,411)</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(43,673)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(6,333)</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(3.8)</w:t>
            </w:r>
          </w:p>
        </w:tc>
        <w:tc>
          <w:tcPr>
            <w:tcW w:w="0" w:type="dxa"/>
            <w:vAlign w:val="bottom"/>
          </w:tcPr>
          <w:p>
            <w:pPr>
              <w:spacing w:after="0"/>
              <w:rPr>
                <w:sz w:val="1"/>
                <w:szCs w:val="1"/>
                <w:color w:val="auto"/>
              </w:rPr>
            </w:pPr>
          </w:p>
        </w:tc>
      </w:tr>
      <w:tr>
        <w:trPr>
          <w:trHeight w:val="197"/>
        </w:trPr>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income/(expenses):</w:t>
            </w: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income/(expenses)</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(1,157)</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(3,206)</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(5,062)</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(734)</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193"/>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Unrealized exchange income/(loss)</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137</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(5,328)</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(2,216)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(321)</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97"/>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Others, net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10,177</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0.8</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12,627</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19,490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2,826</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3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(Loss)/profit before income tax, and share of income of</w:t>
            </w: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equity method investee</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(16,763)</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(110,377)</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(31,540)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(4,573)</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(2.7)</w:t>
            </w:r>
          </w:p>
        </w:tc>
        <w:tc>
          <w:tcPr>
            <w:tcW w:w="0" w:type="dxa"/>
            <w:vAlign w:val="bottom"/>
          </w:tcPr>
          <w:p>
            <w:pPr>
              <w:spacing w:after="0"/>
              <w:rPr>
                <w:sz w:val="1"/>
                <w:szCs w:val="1"/>
                <w:color w:val="auto"/>
              </w:rPr>
            </w:pPr>
          </w:p>
        </w:tc>
      </w:tr>
      <w:tr>
        <w:trPr>
          <w:trHeight w:val="197"/>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(1,768)</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of income/(loss) of equity method investee</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239</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2,660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(2,200)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(319)</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97"/>
        </w:trPr>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(loss)/profit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(18,292)</w:t>
            </w:r>
          </w:p>
        </w:tc>
        <w:tc>
          <w:tcPr>
            <w:tcW w:w="1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(107,717)</w:t>
            </w:r>
          </w:p>
        </w:tc>
        <w:tc>
          <w:tcPr>
            <w:tcW w:w="2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(33,740)</w:t>
            </w:r>
          </w:p>
        </w:tc>
        <w:tc>
          <w:tcPr>
            <w:tcW w:w="2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(4,892)</w:t>
            </w:r>
          </w:p>
        </w:tc>
        <w:tc>
          <w:tcPr>
            <w:tcW w:w="2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92075</wp:posOffset>
            </wp:positionV>
            <wp:extent cx="68897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8975" cy="7620"/>
                    </a:xfrm>
                    <a:prstGeom prst="rect">
                      <a:avLst/>
                    </a:prstGeom>
                    <a:noFill/>
                  </pic:spPr>
                </pic:pic>
              </a:graphicData>
            </a:graphic>
          </wp:anchor>
        </w:drawing>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Note:</w:t>
      </w:r>
    </w:p>
    <w:p>
      <w:pPr>
        <w:spacing w:after="0" w:line="95" w:lineRule="exact"/>
        <w:rPr>
          <w:sz w:val="20"/>
          <w:szCs w:val="20"/>
          <w:color w:val="auto"/>
        </w:rPr>
      </w:pPr>
    </w:p>
    <w:p>
      <w:pPr>
        <w:ind w:left="5500" w:right="3340" w:hanging="4793"/>
        <w:spacing w:after="0" w:line="457" w:lineRule="auto"/>
        <w:tabs>
          <w:tab w:leader="none" w:pos="109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Share-based compensation expenses were allocated in operating costs and expenses as follows: 122</w:t>
      </w:r>
    </w:p>
    <w:p>
      <w:pPr>
        <w:sectPr>
          <w:pgSz w:w="11900" w:h="16838" w:orient="portrait"/>
          <w:cols w:equalWidth="0" w:num="1">
            <w:col w:w="10540"/>
          </w:cols>
          <w:pgMar w:left="320" w:top="447" w:right="10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0" w:lineRule="exact"/>
        <w:rPr>
          <w:sz w:val="20"/>
          <w:szCs w:val="20"/>
          <w:color w:val="auto"/>
        </w:rPr>
      </w:pPr>
    </w:p>
    <w:tbl>
      <w:tblPr>
        <w:tblLayout w:type="fixed"/>
        <w:tblInd w:w="110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4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500" w:type="dxa"/>
            <w:vAlign w:val="bottom"/>
          </w:tcPr>
          <w:p>
            <w:pPr>
              <w:jc w:val="right"/>
              <w:ind w:right="44"/>
              <w:spacing w:after="0" w:line="125" w:lineRule="exact"/>
              <w:rPr>
                <w:sz w:val="20"/>
                <w:szCs w:val="20"/>
                <w:color w:val="auto"/>
              </w:rPr>
            </w:pPr>
            <w:r>
              <w:rPr>
                <w:rFonts w:ascii="Times New Roman" w:cs="Times New Roman" w:eastAsia="Times New Roman" w:hAnsi="Times New Roman"/>
                <w:sz w:val="13"/>
                <w:szCs w:val="13"/>
                <w:b w:val="1"/>
                <w:bCs w:val="1"/>
                <w:color w:val="auto"/>
              </w:rPr>
              <w:t>2020</w:t>
            </w:r>
          </w:p>
        </w:tc>
        <w:tc>
          <w:tcPr>
            <w:tcW w:w="20" w:type="dxa"/>
            <w:vAlign w:val="bottom"/>
          </w:tcPr>
          <w:p>
            <w:pPr>
              <w:spacing w:after="0"/>
              <w:rPr>
                <w:sz w:val="10"/>
                <w:szCs w:val="10"/>
                <w:color w:val="auto"/>
              </w:rPr>
            </w:pPr>
          </w:p>
        </w:tc>
        <w:tc>
          <w:tcPr>
            <w:tcW w:w="680" w:type="dxa"/>
            <w:vAlign w:val="bottom"/>
            <w:gridSpan w:val="2"/>
          </w:tcPr>
          <w:p>
            <w:pPr>
              <w:jc w:val="right"/>
              <w:ind w:right="48"/>
              <w:spacing w:after="0" w:line="125" w:lineRule="exact"/>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Pr>
          <w:p>
            <w:pPr>
              <w:spacing w:after="0"/>
              <w:rPr>
                <w:sz w:val="10"/>
                <w:szCs w:val="10"/>
                <w:color w:val="auto"/>
              </w:rPr>
            </w:pPr>
          </w:p>
        </w:tc>
        <w:tc>
          <w:tcPr>
            <w:tcW w:w="700" w:type="dxa"/>
            <w:vAlign w:val="bottom"/>
            <w:gridSpan w:val="2"/>
          </w:tcPr>
          <w:p>
            <w:pPr>
              <w:jc w:val="right"/>
              <w:ind w:right="20"/>
              <w:spacing w:after="0" w:line="125" w:lineRule="exact"/>
              <w:rPr>
                <w:sz w:val="20"/>
                <w:szCs w:val="20"/>
                <w:color w:val="auto"/>
              </w:rPr>
            </w:pPr>
            <w:r>
              <w:rPr>
                <w:rFonts w:ascii="Times New Roman" w:cs="Times New Roman" w:eastAsia="Times New Roman" w:hAnsi="Times New Roman"/>
                <w:sz w:val="13"/>
                <w:szCs w:val="13"/>
                <w:b w:val="1"/>
                <w:bCs w:val="1"/>
                <w:color w:val="auto"/>
              </w:rPr>
              <w:t>2022</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ind w:right="24"/>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80" w:type="dxa"/>
            <w:vAlign w:val="bottom"/>
            <w:tcBorders>
              <w:bottom w:val="single" w:sz="8" w:color="auto"/>
            </w:tcBorders>
          </w:tcPr>
          <w:p>
            <w:pPr>
              <w:spacing w:after="0"/>
              <w:rPr>
                <w:sz w:val="10"/>
                <w:szCs w:val="10"/>
                <w:color w:val="auto"/>
              </w:rPr>
            </w:pPr>
          </w:p>
        </w:tc>
        <w:tc>
          <w:tcPr>
            <w:tcW w:w="700" w:type="dxa"/>
            <w:vAlign w:val="bottom"/>
            <w:tcBorders>
              <w:top w:val="single" w:sz="8" w:color="auto"/>
              <w:bottom w:val="single" w:sz="8" w:color="auto"/>
            </w:tcBorders>
            <w:gridSpan w:val="2"/>
          </w:tcPr>
          <w:p>
            <w:pPr>
              <w:jc w:val="right"/>
              <w:ind w:right="32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20" w:type="dxa"/>
            <w:vAlign w:val="bottom"/>
            <w:tcBorders>
              <w:top w:val="single" w:sz="8" w:color="auto"/>
              <w:bottom w:val="single" w:sz="8" w:color="auto"/>
            </w:tcBorders>
          </w:tcPr>
          <w:p>
            <w:pPr>
              <w:jc w:val="right"/>
              <w:ind w:right="22"/>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4"/>
          </w:tcPr>
          <w:p>
            <w:pPr>
              <w:jc w:val="center"/>
              <w:ind w:right="300"/>
              <w:spacing w:after="0" w:line="125" w:lineRule="exact"/>
              <w:rPr>
                <w:sz w:val="20"/>
                <w:szCs w:val="20"/>
                <w:color w:val="auto"/>
              </w:rPr>
            </w:pPr>
            <w:r>
              <w:rPr>
                <w:rFonts w:ascii="Times New Roman" w:cs="Times New Roman" w:eastAsia="Times New Roman" w:hAnsi="Times New Roman"/>
                <w:sz w:val="13"/>
                <w:szCs w:val="13"/>
                <w:b w:val="1"/>
                <w:bCs w:val="1"/>
                <w:color w:val="auto"/>
                <w:w w:val="98"/>
              </w:rPr>
              <w:t>(in thousands)</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410</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(387)</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Selling expenses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10,642</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(475)</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1,041</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40,820</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(665)</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9,151</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1,327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(297)</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208</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52,253</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(1,824)</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10,411</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 2022 compared to year ended December 31, 2021</w:t>
      </w:r>
    </w:p>
    <w:p>
      <w:pPr>
        <w:spacing w:after="0" w:line="1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Operating Revenue</w:t>
      </w:r>
    </w:p>
    <w:p>
      <w:pPr>
        <w:spacing w:after="0" w:line="107" w:lineRule="exact"/>
        <w:rPr>
          <w:sz w:val="20"/>
          <w:szCs w:val="20"/>
          <w:color w:val="auto"/>
        </w:rPr>
      </w:pPr>
    </w:p>
    <w:p>
      <w:pPr>
        <w:ind w:left="700" w:right="320" w:firstLine="393"/>
        <w:spacing w:after="0" w:line="284" w:lineRule="auto"/>
        <w:rPr>
          <w:sz w:val="20"/>
          <w:szCs w:val="20"/>
          <w:color w:val="auto"/>
        </w:rPr>
      </w:pPr>
      <w:r>
        <w:rPr>
          <w:rFonts w:ascii="Times New Roman" w:cs="Times New Roman" w:eastAsia="Times New Roman" w:hAnsi="Times New Roman"/>
          <w:sz w:val="16"/>
          <w:szCs w:val="16"/>
          <w:color w:val="auto"/>
        </w:rPr>
        <w:t>Our total operating revenue decreased by 48.4% from RMB2,245.0 million in 2021 to RMB1,157.9 million (US$167.9 million) in 2022. This decrease was driven by the decrease in our brokerage income from RMB2,232.3 million in 2021 to RMB1,108.7 million in 2022.</w:t>
      </w:r>
    </w:p>
    <w:p>
      <w:pPr>
        <w:spacing w:after="0" w:line="143" w:lineRule="exact"/>
        <w:rPr>
          <w:sz w:val="20"/>
          <w:szCs w:val="20"/>
          <w:color w:val="auto"/>
        </w:rPr>
      </w:pPr>
    </w:p>
    <w:p>
      <w:pPr>
        <w:ind w:left="700" w:right="160" w:firstLine="393"/>
        <w:spacing w:after="0" w:line="284" w:lineRule="auto"/>
        <w:rPr>
          <w:sz w:val="20"/>
          <w:szCs w:val="20"/>
          <w:color w:val="auto"/>
        </w:rPr>
      </w:pPr>
      <w:r>
        <w:rPr>
          <w:rFonts w:ascii="Times New Roman" w:cs="Times New Roman" w:eastAsia="Times New Roman" w:hAnsi="Times New Roman"/>
          <w:sz w:val="16"/>
          <w:szCs w:val="16"/>
          <w:color w:val="auto"/>
        </w:rPr>
        <w:t>The decrease of brokerage income was primarily due to the 40.9% decrease in first year premium, or FYP, facilitated through our platform from RMB3,123.8 million in 2021 to RMB1,846.6 million in 2022.</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Operating cost and expenses</w:t>
      </w:r>
    </w:p>
    <w:p>
      <w:pPr>
        <w:spacing w:after="0" w:line="107" w:lineRule="exact"/>
        <w:rPr>
          <w:sz w:val="20"/>
          <w:szCs w:val="20"/>
          <w:color w:val="auto"/>
        </w:rPr>
      </w:pPr>
    </w:p>
    <w:p>
      <w:pPr>
        <w:ind w:left="700" w:firstLine="393"/>
        <w:spacing w:after="0" w:line="267" w:lineRule="auto"/>
        <w:rPr>
          <w:sz w:val="20"/>
          <w:szCs w:val="20"/>
          <w:color w:val="auto"/>
        </w:rPr>
      </w:pPr>
      <w:r>
        <w:rPr>
          <w:rFonts w:ascii="Times New Roman" w:cs="Times New Roman" w:eastAsia="Times New Roman" w:hAnsi="Times New Roman"/>
          <w:sz w:val="16"/>
          <w:szCs w:val="16"/>
          <w:color w:val="auto"/>
        </w:rPr>
        <w:t>Our total operating cost and expenses decreased by 49.1% from RMB2,359.4 million in 2021 to RMB1,201.6 million (US$174.2 million) in 2022. This decrease was primarily due to the strategy of improving operational efficiency by executing disciplined cost control measures and implementing our group-wide organizational structure optimization in 2022.</w:t>
      </w:r>
    </w:p>
    <w:p>
      <w:pPr>
        <w:spacing w:after="0" w:line="155" w:lineRule="exact"/>
        <w:rPr>
          <w:sz w:val="20"/>
          <w:szCs w:val="20"/>
          <w:color w:val="auto"/>
        </w:rPr>
      </w:pPr>
    </w:p>
    <w:p>
      <w:pPr>
        <w:ind w:left="700" w:right="180" w:firstLine="393"/>
        <w:spacing w:after="0" w:line="286" w:lineRule="auto"/>
        <w:rPr>
          <w:sz w:val="20"/>
          <w:szCs w:val="20"/>
          <w:color w:val="auto"/>
        </w:rPr>
      </w:pPr>
      <w:r>
        <w:rPr>
          <w:rFonts w:ascii="Times New Roman" w:cs="Times New Roman" w:eastAsia="Times New Roman" w:hAnsi="Times New Roman"/>
          <w:sz w:val="16"/>
          <w:szCs w:val="16"/>
          <w:i w:val="1"/>
          <w:iCs w:val="1"/>
          <w:color w:val="auto"/>
        </w:rPr>
        <w:t>Cost of revenue</w:t>
      </w:r>
      <w:r>
        <w:rPr>
          <w:rFonts w:ascii="Times New Roman" w:cs="Times New Roman" w:eastAsia="Times New Roman" w:hAnsi="Times New Roman"/>
          <w:sz w:val="16"/>
          <w:szCs w:val="16"/>
          <w:color w:val="auto"/>
        </w:rPr>
        <w:t>. Our cost of revenue decreased by 58.2% from RMB1,688.1 million in 2021 to RMB706.0 million (US$102.4 million) in 2022,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attributable to the decrease in channel cost paid to our user traffic channels for our indirect marketing.</w:t>
      </w:r>
    </w:p>
    <w:p>
      <w:pPr>
        <w:spacing w:after="0" w:line="140" w:lineRule="exact"/>
        <w:rPr>
          <w:sz w:val="20"/>
          <w:szCs w:val="20"/>
          <w:color w:val="auto"/>
        </w:rPr>
      </w:pPr>
    </w:p>
    <w:p>
      <w:pPr>
        <w:ind w:left="700" w:right="700" w:firstLine="393"/>
        <w:spacing w:after="0" w:line="286" w:lineRule="auto"/>
        <w:rPr>
          <w:sz w:val="20"/>
          <w:szCs w:val="20"/>
          <w:color w:val="auto"/>
        </w:rPr>
      </w:pPr>
      <w:r>
        <w:rPr>
          <w:rFonts w:ascii="Times New Roman" w:cs="Times New Roman" w:eastAsia="Times New Roman" w:hAnsi="Times New Roman"/>
          <w:sz w:val="16"/>
          <w:szCs w:val="16"/>
          <w:i w:val="1"/>
          <w:iCs w:val="1"/>
          <w:color w:val="auto"/>
        </w:rPr>
        <w:t>Other cost</w:t>
      </w:r>
      <w:r>
        <w:rPr>
          <w:rFonts w:ascii="Times New Roman" w:cs="Times New Roman" w:eastAsia="Times New Roman" w:hAnsi="Times New Roman"/>
          <w:sz w:val="16"/>
          <w:szCs w:val="16"/>
          <w:color w:val="auto"/>
        </w:rPr>
        <w:t>. Our other cost increased by 948.1% from RMB2.7 million in 2021 to RMB28.3 million (US$4.1 million) in 2022, primarily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attributable to the increase in the project expenses of our technology service business.</w:t>
      </w:r>
    </w:p>
    <w:p>
      <w:pPr>
        <w:spacing w:after="0" w:line="140" w:lineRule="exact"/>
        <w:rPr>
          <w:sz w:val="20"/>
          <w:szCs w:val="20"/>
          <w:color w:val="auto"/>
        </w:rPr>
      </w:pPr>
    </w:p>
    <w:p>
      <w:pPr>
        <w:ind w:left="700" w:right="20" w:firstLine="393"/>
        <w:spacing w:after="0" w:line="269" w:lineRule="auto"/>
        <w:rPr>
          <w:sz w:val="20"/>
          <w:szCs w:val="20"/>
          <w:color w:val="auto"/>
        </w:rPr>
      </w:pPr>
      <w:r>
        <w:rPr>
          <w:rFonts w:ascii="Times New Roman" w:cs="Times New Roman" w:eastAsia="Times New Roman" w:hAnsi="Times New Roman"/>
          <w:sz w:val="16"/>
          <w:szCs w:val="16"/>
          <w:i w:val="1"/>
          <w:iCs w:val="1"/>
          <w:color w:val="auto"/>
        </w:rPr>
        <w:t>Selling expenses</w:t>
      </w:r>
      <w:r>
        <w:rPr>
          <w:rFonts w:ascii="Times New Roman" w:cs="Times New Roman" w:eastAsia="Times New Roman" w:hAnsi="Times New Roman"/>
          <w:sz w:val="16"/>
          <w:szCs w:val="16"/>
          <w:color w:val="auto"/>
        </w:rPr>
        <w:t>. Our selling expenses decreased by 33.9% from RMB350.6 million in 2021 to RMB231.7 million (US$33.6 million) in 2022,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accounting for 15.6% and 20.0% of the total operating revenue of the respective year, primarily attributable to the decrease in advertising and marketing expenses, as well as the decrease in the number of personnel of sales function.</w:t>
      </w:r>
    </w:p>
    <w:p>
      <w:pPr>
        <w:spacing w:after="0" w:line="153" w:lineRule="exact"/>
        <w:rPr>
          <w:sz w:val="20"/>
          <w:szCs w:val="20"/>
          <w:color w:val="auto"/>
        </w:rPr>
      </w:pPr>
    </w:p>
    <w:p>
      <w:pPr>
        <w:ind w:left="700" w:right="480" w:firstLine="393"/>
        <w:spacing w:after="0" w:line="263" w:lineRule="auto"/>
        <w:rPr>
          <w:sz w:val="20"/>
          <w:szCs w:val="20"/>
          <w:color w:val="auto"/>
        </w:rPr>
      </w:pPr>
      <w:r>
        <w:rPr>
          <w:rFonts w:ascii="Times New Roman" w:cs="Times New Roman" w:eastAsia="Times New Roman" w:hAnsi="Times New Roman"/>
          <w:sz w:val="16"/>
          <w:szCs w:val="16"/>
          <w:i w:val="1"/>
          <w:iCs w:val="1"/>
          <w:color w:val="auto"/>
        </w:rPr>
        <w:t>General and administrative expenses</w:t>
      </w:r>
      <w:r>
        <w:rPr>
          <w:rFonts w:ascii="Times New Roman" w:cs="Times New Roman" w:eastAsia="Times New Roman" w:hAnsi="Times New Roman"/>
          <w:sz w:val="16"/>
          <w:szCs w:val="16"/>
          <w:color w:val="auto"/>
        </w:rPr>
        <w:t>. Our general and administrative expenses decreased by 21.7% from RMB197.6 million in 2021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RMB154.7 million (US$22.4 million) in 2022, accounting for 8.8% and 13.4% of the total operating revenue of the respective year, primarily attributable to the decrease in salaries and employment benefits from RMB87.3 million in 2021 to RMB59.5 million in 2022, which was due to a decrease in the number of personnel of general and administrative function, as well as decreased professional service expenses.</w:t>
      </w:r>
    </w:p>
    <w:p>
      <w:pPr>
        <w:spacing w:after="0" w:line="158" w:lineRule="exact"/>
        <w:rPr>
          <w:sz w:val="20"/>
          <w:szCs w:val="20"/>
          <w:color w:val="auto"/>
        </w:rPr>
      </w:pPr>
    </w:p>
    <w:p>
      <w:pPr>
        <w:jc w:val="both"/>
        <w:ind w:left="700" w:right="740" w:firstLine="393"/>
        <w:spacing w:after="0" w:line="269" w:lineRule="auto"/>
        <w:rPr>
          <w:sz w:val="20"/>
          <w:szCs w:val="20"/>
          <w:color w:val="auto"/>
        </w:rPr>
      </w:pPr>
      <w:r>
        <w:rPr>
          <w:rFonts w:ascii="Times New Roman" w:cs="Times New Roman" w:eastAsia="Times New Roman" w:hAnsi="Times New Roman"/>
          <w:sz w:val="16"/>
          <w:szCs w:val="16"/>
          <w:i w:val="1"/>
          <w:iCs w:val="1"/>
          <w:color w:val="auto"/>
        </w:rPr>
        <w:t>Research and development expenses</w:t>
      </w:r>
      <w:r>
        <w:rPr>
          <w:rFonts w:ascii="Times New Roman" w:cs="Times New Roman" w:eastAsia="Times New Roman" w:hAnsi="Times New Roman"/>
          <w:sz w:val="16"/>
          <w:szCs w:val="16"/>
          <w:color w:val="auto"/>
        </w:rPr>
        <w:t>. Our research and development expenses decreased by 32.8% from RMB120.5 million in 2021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RMB80.9 million (US$11.7 million) in 2022, accounting for 5.4% and 7.0% of the total operating revenue of the respective period, primarily attributable to the decrease in the number of research and development personnel in 2022.</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123</w:t>
      </w:r>
    </w:p>
    <w:p>
      <w:pPr>
        <w:sectPr>
          <w:pgSz w:w="11900" w:h="16838" w:orient="portrait"/>
          <w:cols w:equalWidth="0" w:num="1">
            <w:col w:w="10520"/>
          </w:cols>
          <w:pgMar w:left="320" w:top="447" w:right="10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Operating loss</w:t>
      </w:r>
    </w:p>
    <w:p>
      <w:pPr>
        <w:spacing w:after="0" w:line="20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As a result of the foregoing, we recorded an operating loss of RMB43.7 million (US$6.3 million) in 2022, as compared to RMB114.4 million in</w:t>
      </w:r>
    </w:p>
    <w:p>
      <w:pPr>
        <w:spacing w:after="0" w:line="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2021.</w:t>
      </w:r>
    </w:p>
    <w:p>
      <w:pPr>
        <w:spacing w:after="0" w:line="2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Other income</w:t>
      </w:r>
    </w:p>
    <w:p>
      <w:pPr>
        <w:spacing w:after="0" w:line="107"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We recorded other income of RMB49.3 million (US$7.1 million) in 2022, compared to RMB12.8 million in 2021. This increase was primarily due to the increase in technology development service income and consulting service income.</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Net loss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As a result of the foregoing, we recorded a net loss of RMB33.7 million (US$4.9 million) in 2022, compared to RMB107.7 million in 2021.</w:t>
      </w:r>
    </w:p>
    <w:p>
      <w:pPr>
        <w:spacing w:after="0" w:line="2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 2021 compared to year ended December 31, 2020</w:t>
      </w:r>
    </w:p>
    <w:p>
      <w:pPr>
        <w:spacing w:after="0" w:line="1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Operating Revenue</w:t>
      </w:r>
    </w:p>
    <w:p>
      <w:pPr>
        <w:spacing w:after="0" w:line="107" w:lineRule="exact"/>
        <w:rPr>
          <w:sz w:val="20"/>
          <w:szCs w:val="20"/>
          <w:color w:val="auto"/>
        </w:rPr>
      </w:pPr>
    </w:p>
    <w:p>
      <w:pPr>
        <w:ind w:left="700" w:right="160" w:firstLine="393"/>
        <w:spacing w:after="0" w:line="284" w:lineRule="auto"/>
        <w:rPr>
          <w:sz w:val="20"/>
          <w:szCs w:val="20"/>
          <w:color w:val="auto"/>
        </w:rPr>
      </w:pPr>
      <w:r>
        <w:rPr>
          <w:rFonts w:ascii="Times New Roman" w:cs="Times New Roman" w:eastAsia="Times New Roman" w:hAnsi="Times New Roman"/>
          <w:sz w:val="16"/>
          <w:szCs w:val="16"/>
          <w:color w:val="auto"/>
        </w:rPr>
        <w:t>Our total operating revenue increased by 84.0% from RMB1,220.2 million in 2020 to RMB2,245.0 million in 2021. This increase was driven by the growth in our brokerage income from RMB1,215.4 million in 2020 to RMB2,232.3 million in 2021.</w:t>
      </w:r>
    </w:p>
    <w:p>
      <w:pPr>
        <w:spacing w:after="0" w:line="143" w:lineRule="exact"/>
        <w:rPr>
          <w:sz w:val="20"/>
          <w:szCs w:val="20"/>
          <w:color w:val="auto"/>
        </w:rPr>
      </w:pPr>
    </w:p>
    <w:p>
      <w:pPr>
        <w:ind w:left="700" w:right="240" w:firstLine="393"/>
        <w:spacing w:after="0" w:line="267" w:lineRule="auto"/>
        <w:rPr>
          <w:sz w:val="20"/>
          <w:szCs w:val="20"/>
          <w:color w:val="auto"/>
        </w:rPr>
      </w:pPr>
      <w:r>
        <w:rPr>
          <w:rFonts w:ascii="Times New Roman" w:cs="Times New Roman" w:eastAsia="Times New Roman" w:hAnsi="Times New Roman"/>
          <w:sz w:val="16"/>
          <w:szCs w:val="16"/>
          <w:color w:val="auto"/>
        </w:rPr>
        <w:t>The increase of brokerage income was primarily due to the 66.2% increase in the total GWP facilitated through our platform from RMB3,019.9 million in 2020 to RMB5,018.2 million in 2021, of which first year premium, or FYP, increased by 99.2% from RMB1,567.9 million in 2020 to RMB3,123.8 million in 2021.</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Operating cost and expenses</w:t>
      </w:r>
    </w:p>
    <w:p>
      <w:pPr>
        <w:spacing w:after="0" w:line="107" w:lineRule="exact"/>
        <w:rPr>
          <w:sz w:val="20"/>
          <w:szCs w:val="20"/>
          <w:color w:val="auto"/>
        </w:rPr>
      </w:pPr>
    </w:p>
    <w:p>
      <w:pPr>
        <w:jc w:val="both"/>
        <w:ind w:left="700" w:right="120" w:firstLine="393"/>
        <w:spacing w:after="0" w:line="267" w:lineRule="auto"/>
        <w:rPr>
          <w:sz w:val="20"/>
          <w:szCs w:val="20"/>
          <w:color w:val="auto"/>
        </w:rPr>
      </w:pPr>
      <w:r>
        <w:rPr>
          <w:rFonts w:ascii="Times New Roman" w:cs="Times New Roman" w:eastAsia="Times New Roman" w:hAnsi="Times New Roman"/>
          <w:sz w:val="16"/>
          <w:szCs w:val="16"/>
          <w:color w:val="auto"/>
        </w:rPr>
        <w:t>Our total operating cost and expenses increased by 89.3% from RMB1,246.1 million in 2020 to RMB2,359.4 million in 2021. This increase was primarily due to the increase in our cost of revenue resulting from our continued strategy of expanding client base and boosting insurance product sales in 2021.</w:t>
      </w:r>
    </w:p>
    <w:p>
      <w:pPr>
        <w:spacing w:after="0" w:line="155" w:lineRule="exact"/>
        <w:rPr>
          <w:sz w:val="20"/>
          <w:szCs w:val="20"/>
          <w:color w:val="auto"/>
        </w:rPr>
      </w:pPr>
    </w:p>
    <w:p>
      <w:pPr>
        <w:ind w:left="700" w:right="40" w:firstLine="393"/>
        <w:spacing w:after="0" w:line="269" w:lineRule="auto"/>
        <w:rPr>
          <w:sz w:val="20"/>
          <w:szCs w:val="20"/>
          <w:color w:val="auto"/>
        </w:rPr>
      </w:pPr>
      <w:r>
        <w:rPr>
          <w:rFonts w:ascii="Times New Roman" w:cs="Times New Roman" w:eastAsia="Times New Roman" w:hAnsi="Times New Roman"/>
          <w:sz w:val="16"/>
          <w:szCs w:val="16"/>
          <w:i w:val="1"/>
          <w:iCs w:val="1"/>
          <w:color w:val="auto"/>
        </w:rPr>
        <w:t>Cost of revenue</w:t>
      </w:r>
      <w:r>
        <w:rPr>
          <w:rFonts w:ascii="Times New Roman" w:cs="Times New Roman" w:eastAsia="Times New Roman" w:hAnsi="Times New Roman"/>
          <w:sz w:val="16"/>
          <w:szCs w:val="16"/>
          <w:color w:val="auto"/>
        </w:rPr>
        <w:t>. Our cost of revenue increased by 107.5% from RMB813.5 million in 2020 to RMB1,688.1 million in 2021, primarily attributable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the increase in channel cost paid to our user traffic channels for our indirect marketing. The increase was largely in line with the growth of our business scale, as we obtained more user traffic through our user traffic channels as a result of our enhanced indirect client acquisition efforts in 2021.</w:t>
      </w:r>
    </w:p>
    <w:p>
      <w:pPr>
        <w:spacing w:after="0" w:line="15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Other cost</w:t>
      </w:r>
      <w:r>
        <w:rPr>
          <w:rFonts w:ascii="Times New Roman" w:cs="Times New Roman" w:eastAsia="Times New Roman" w:hAnsi="Times New Roman"/>
          <w:sz w:val="16"/>
          <w:szCs w:val="16"/>
          <w:color w:val="auto"/>
        </w:rPr>
        <w:t>. Our other cost decreased by 6.2% from RMB2.8 million in 2020 to RMB2.7 million in 2021.</w:t>
      </w:r>
    </w:p>
    <w:p>
      <w:pPr>
        <w:spacing w:after="0" w:line="202" w:lineRule="exact"/>
        <w:rPr>
          <w:sz w:val="20"/>
          <w:szCs w:val="20"/>
          <w:color w:val="auto"/>
        </w:rPr>
      </w:pPr>
    </w:p>
    <w:p>
      <w:pPr>
        <w:ind w:left="700" w:right="100" w:firstLine="393"/>
        <w:spacing w:after="0" w:line="263" w:lineRule="auto"/>
        <w:rPr>
          <w:sz w:val="20"/>
          <w:szCs w:val="20"/>
          <w:color w:val="auto"/>
        </w:rPr>
      </w:pPr>
      <w:r>
        <w:rPr>
          <w:rFonts w:ascii="Times New Roman" w:cs="Times New Roman" w:eastAsia="Times New Roman" w:hAnsi="Times New Roman"/>
          <w:sz w:val="16"/>
          <w:szCs w:val="16"/>
          <w:i w:val="1"/>
          <w:iCs w:val="1"/>
          <w:color w:val="auto"/>
        </w:rPr>
        <w:t>Selling expenses</w:t>
      </w:r>
      <w:r>
        <w:rPr>
          <w:rFonts w:ascii="Times New Roman" w:cs="Times New Roman" w:eastAsia="Times New Roman" w:hAnsi="Times New Roman"/>
          <w:sz w:val="16"/>
          <w:szCs w:val="16"/>
          <w:color w:val="auto"/>
        </w:rPr>
        <w:t>. Our selling expenses increased by 52.1% from RMB230.4 million in 2020 to RMB350.6 million in 2021, accounting for 18.9%</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15.6% of the total operating revenue of the respective year, primarily attributable to the increase in the number of personnel of sales function, as well as the increase in advertising and marketing expenses to improve our brand awareness, partially offset by a decrease in share-based compensation expenses.</w:t>
      </w:r>
    </w:p>
    <w:p>
      <w:pPr>
        <w:spacing w:after="0" w:line="158" w:lineRule="exact"/>
        <w:rPr>
          <w:sz w:val="20"/>
          <w:szCs w:val="20"/>
          <w:color w:val="auto"/>
        </w:rPr>
      </w:pPr>
    </w:p>
    <w:p>
      <w:pPr>
        <w:ind w:left="700" w:right="20" w:firstLine="393"/>
        <w:spacing w:after="0" w:line="260" w:lineRule="auto"/>
        <w:rPr>
          <w:sz w:val="20"/>
          <w:szCs w:val="20"/>
          <w:color w:val="auto"/>
        </w:rPr>
      </w:pPr>
      <w:r>
        <w:rPr>
          <w:rFonts w:ascii="Times New Roman" w:cs="Times New Roman" w:eastAsia="Times New Roman" w:hAnsi="Times New Roman"/>
          <w:sz w:val="16"/>
          <w:szCs w:val="16"/>
          <w:i w:val="1"/>
          <w:iCs w:val="1"/>
          <w:color w:val="auto"/>
        </w:rPr>
        <w:t>General and administrative expenses</w:t>
      </w:r>
      <w:r>
        <w:rPr>
          <w:rFonts w:ascii="Times New Roman" w:cs="Times New Roman" w:eastAsia="Times New Roman" w:hAnsi="Times New Roman"/>
          <w:sz w:val="16"/>
          <w:szCs w:val="16"/>
          <w:color w:val="auto"/>
        </w:rPr>
        <w:t>. Our general and administrative expenses increased by 31.6% from RMB150.2 million in 2020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RMB197.6 million in 2020, accounting for 12.3% and 8.8% of the total operating revenue of the respective year, primarily attributable to the increase in salaries and employment benefits from RMB51.5 million in 2020 to RMB87.3 million in 2021, which was due to an increase in the number of personnel of general and administrative function, as well as increased rental expenses from office expansion. The increase was partially offset by a decrease in share-based compensation expenses.</w:t>
      </w:r>
    </w:p>
    <w:p>
      <w:pPr>
        <w:spacing w:after="0" w:line="160" w:lineRule="exact"/>
        <w:rPr>
          <w:sz w:val="20"/>
          <w:szCs w:val="20"/>
          <w:color w:val="auto"/>
        </w:rPr>
      </w:pPr>
    </w:p>
    <w:p>
      <w:pPr>
        <w:ind w:left="700" w:right="140" w:firstLine="393"/>
        <w:spacing w:after="0" w:line="269" w:lineRule="auto"/>
        <w:rPr>
          <w:sz w:val="20"/>
          <w:szCs w:val="20"/>
          <w:color w:val="auto"/>
        </w:rPr>
      </w:pPr>
      <w:r>
        <w:rPr>
          <w:rFonts w:ascii="Times New Roman" w:cs="Times New Roman" w:eastAsia="Times New Roman" w:hAnsi="Times New Roman"/>
          <w:sz w:val="16"/>
          <w:szCs w:val="16"/>
          <w:i w:val="1"/>
          <w:iCs w:val="1"/>
          <w:color w:val="auto"/>
        </w:rPr>
        <w:t>Research and development expenses</w:t>
      </w:r>
      <w:r>
        <w:rPr>
          <w:rFonts w:ascii="Times New Roman" w:cs="Times New Roman" w:eastAsia="Times New Roman" w:hAnsi="Times New Roman"/>
          <w:sz w:val="16"/>
          <w:szCs w:val="16"/>
          <w:color w:val="auto"/>
        </w:rPr>
        <w:t>. Our research and development expenses increased by 145.2% from RMB49.1 million in 2020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RMB120.5 million in 2021, accounting for 4.0% and 5.4% of the total operating revenue of the respective period, primarily attributable to the increase in the number of research and development personnel in 2021.</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124</w:t>
      </w:r>
    </w:p>
    <w:p>
      <w:pPr>
        <w:sectPr>
          <w:pgSz w:w="11900" w:h="16838" w:orient="portrait"/>
          <w:cols w:equalWidth="0" w:num="1">
            <w:col w:w="10540"/>
          </w:cols>
          <w:pgMar w:left="320" w:top="447" w:right="10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Operating loss</w:t>
      </w:r>
    </w:p>
    <w:p>
      <w:pPr>
        <w:spacing w:after="0" w:line="20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As a result of the foregoing, we recorded an operating loss of RMB114.4 million in 2021, as compared to RMB25.9 million in 2020.</w:t>
      </w:r>
    </w:p>
    <w:p>
      <w:pPr>
        <w:spacing w:after="0" w:line="2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Other income</w:t>
      </w:r>
    </w:p>
    <w:p>
      <w:pPr>
        <w:spacing w:after="0" w:line="107" w:lineRule="exact"/>
        <w:rPr>
          <w:sz w:val="20"/>
          <w:szCs w:val="20"/>
          <w:color w:val="auto"/>
        </w:rPr>
      </w:pPr>
    </w:p>
    <w:p>
      <w:pPr>
        <w:ind w:left="700" w:right="80" w:firstLine="393"/>
        <w:spacing w:after="0" w:line="284" w:lineRule="auto"/>
        <w:rPr>
          <w:sz w:val="20"/>
          <w:szCs w:val="20"/>
          <w:color w:val="auto"/>
        </w:rPr>
      </w:pPr>
      <w:r>
        <w:rPr>
          <w:rFonts w:ascii="Times New Roman" w:cs="Times New Roman" w:eastAsia="Times New Roman" w:hAnsi="Times New Roman"/>
          <w:sz w:val="16"/>
          <w:szCs w:val="16"/>
          <w:color w:val="auto"/>
        </w:rPr>
        <w:t>We recorded other income of RMB12.8 million in 2021, compared to RMB4.8 million in 2020. This increase was primarily due to the increase in technology development service income and consulting service income.</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Net loss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As a result of the foregoing, we recorded a net loss of RMB107.7 million in 2021, compared to RMB18.3 million in 2020.</w:t>
      </w:r>
    </w:p>
    <w:p>
      <w:pPr>
        <w:spacing w:after="0" w:line="2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Taxation</w:t>
      </w:r>
    </w:p>
    <w:p>
      <w:pPr>
        <w:spacing w:after="0" w:line="1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Cayman Islands</w:t>
      </w:r>
    </w:p>
    <w:p>
      <w:pPr>
        <w:spacing w:after="0" w:line="109" w:lineRule="exact"/>
        <w:rPr>
          <w:sz w:val="20"/>
          <w:szCs w:val="20"/>
          <w:color w:val="auto"/>
        </w:rPr>
      </w:pPr>
    </w:p>
    <w:p>
      <w:pPr>
        <w:ind w:left="700" w:right="360" w:firstLine="393"/>
        <w:spacing w:after="0" w:line="262" w:lineRule="auto"/>
        <w:rPr>
          <w:sz w:val="20"/>
          <w:szCs w:val="20"/>
          <w:color w:val="auto"/>
        </w:rPr>
      </w:pPr>
      <w:r>
        <w:rPr>
          <w:rFonts w:ascii="Times New Roman" w:cs="Times New Roman" w:eastAsia="Times New Roman" w:hAnsi="Times New Roman"/>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a party to a double tax treaty entered into with the United Kingdom in 2010 but otherwise is not party to any double tax treaties.</w:t>
      </w:r>
    </w:p>
    <w:p>
      <w:pPr>
        <w:spacing w:after="0" w:line="2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Hong Kong</w:t>
      </w:r>
    </w:p>
    <w:p>
      <w:pPr>
        <w:spacing w:after="0" w:line="109"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Our subsidiary incorporated in Hong Kong, Hong Kong Smart Choice Ventures Limited, is subject to 16.5% Hong Kong profit tax on their taxable income generated from operations in Hong Kong. Under the Hong Kong tax laws, we are exempted from the Hong Kong income tax on our foreign-derived income. In addition, payments of dividends from our Hong Kong subsidiary to us are not subject to any Hong Kong withholding tax. We did not incur such tax expense in 2020, 2021 or 2022.</w:t>
      </w:r>
    </w:p>
    <w:p>
      <w:pPr>
        <w:spacing w:after="0" w:line="2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PRC</w:t>
      </w:r>
    </w:p>
    <w:p>
      <w:pPr>
        <w:spacing w:after="0" w:line="1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Generally, our WFOE, the VIE and its subsidiaries are subject to enterprise income tax on their taxable income in China at a statutory rate of 25%.</w:t>
      </w:r>
    </w:p>
    <w:p>
      <w:pPr>
        <w:spacing w:after="0" w:line="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enterprise income tax is calculated based on the entity’s global income as determined under PRC tax laws and accounting standards.</w:t>
      </w:r>
    </w:p>
    <w:p>
      <w:pPr>
        <w:spacing w:after="0" w:line="185" w:lineRule="exact"/>
        <w:rPr>
          <w:sz w:val="20"/>
          <w:szCs w:val="20"/>
          <w:color w:val="auto"/>
        </w:rPr>
      </w:pPr>
    </w:p>
    <w:p>
      <w:pPr>
        <w:ind w:left="700" w:right="180" w:firstLine="393"/>
        <w:spacing w:after="0" w:line="284" w:lineRule="auto"/>
        <w:rPr>
          <w:sz w:val="20"/>
          <w:szCs w:val="20"/>
          <w:color w:val="auto"/>
        </w:rPr>
      </w:pPr>
      <w:r>
        <w:rPr>
          <w:rFonts w:ascii="Times New Roman" w:cs="Times New Roman" w:eastAsia="Times New Roman" w:hAnsi="Times New Roman"/>
          <w:sz w:val="16"/>
          <w:szCs w:val="16"/>
          <w:color w:val="auto"/>
        </w:rPr>
        <w:t>We are subject to value-added tax at a rate of 6% on the revenues generated from services provided in the PRC, less any deductible value-added tax we have already paid or borne. We are also subject to surcharges on value-added tax payments in accordance with PRC law.</w:t>
      </w:r>
    </w:p>
    <w:p>
      <w:pPr>
        <w:spacing w:after="0" w:line="143" w:lineRule="exact"/>
        <w:rPr>
          <w:sz w:val="20"/>
          <w:szCs w:val="20"/>
          <w:color w:val="auto"/>
        </w:rPr>
      </w:pPr>
    </w:p>
    <w:p>
      <w:pPr>
        <w:ind w:left="700" w:right="140" w:firstLine="393"/>
        <w:spacing w:after="0" w:line="254" w:lineRule="auto"/>
        <w:rPr>
          <w:sz w:val="20"/>
          <w:szCs w:val="20"/>
          <w:color w:val="auto"/>
        </w:rPr>
      </w:pPr>
      <w:r>
        <w:rPr>
          <w:rFonts w:ascii="Times New Roman" w:cs="Times New Roman" w:eastAsia="Times New Roman" w:hAnsi="Times New Roman"/>
          <w:sz w:val="16"/>
          <w:szCs w:val="16"/>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China and the Hong Kong Special Administrative Region on the Avoidance of Double Taxation and Prevention of Fiscal Evasion with respect to Taxes on Income and Capital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Effective from November 1, 2015, the above mentioned approval requirement has been abolished, but a Hong Kong entity is still required to file application package with the relevant tax authority, and settle the overdue taxes if the preferential 5% tax rate is denied based on the subsequent review of the application package by the relevant tax authority. See “Item 3. Key Information—D. Risk Factors—Risks Relating to Our Corporate Structure—We may rely principally on dividends and other distributions on equity paid by our WFOE to fund any cash and financing requirements we may have, and any limitation on the ability of our WFOE to pay dividends to us could have a material adverse effect on our ability to conduct our business.”</w:t>
      </w:r>
    </w:p>
    <w:p>
      <w:pPr>
        <w:spacing w:after="0" w:line="1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125</w:t>
      </w:r>
    </w:p>
    <w:p>
      <w:pPr>
        <w:sectPr>
          <w:pgSz w:w="11900" w:h="16838" w:orient="portrait"/>
          <w:cols w:equalWidth="0" w:num="1">
            <w:col w:w="10540"/>
          </w:cols>
          <w:pgMar w:left="320" w:top="447" w:right="10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120" w:firstLine="393"/>
        <w:spacing w:after="0" w:line="262" w:lineRule="auto"/>
        <w:rPr>
          <w:sz w:val="20"/>
          <w:szCs w:val="20"/>
          <w:color w:val="auto"/>
        </w:rPr>
      </w:pPr>
      <w:r>
        <w:rPr>
          <w:rFonts w:ascii="Times New Roman" w:cs="Times New Roman" w:eastAsia="Times New Roman" w:hAnsi="Times New Roman"/>
          <w:sz w:val="16"/>
          <w:szCs w:val="16"/>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 —D. Risk Factors—Risks Relating to Doing Business in China—If we are classified as a PRC resident enterprise for PRC income tax purposes, such classification could result in unfavorable tax consequences to us and our non-PRC shareholders or ADS holders.”</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107" w:lineRule="exact"/>
        <w:rPr>
          <w:sz w:val="20"/>
          <w:szCs w:val="20"/>
          <w:color w:val="auto"/>
        </w:rPr>
      </w:pPr>
    </w:p>
    <w:p>
      <w:pPr>
        <w:ind w:left="700" w:right="80" w:firstLine="393"/>
        <w:spacing w:after="0" w:line="284" w:lineRule="auto"/>
        <w:rPr>
          <w:sz w:val="20"/>
          <w:szCs w:val="20"/>
          <w:color w:val="auto"/>
        </w:rPr>
      </w:pPr>
      <w:r>
        <w:rPr>
          <w:rFonts w:ascii="Times New Roman" w:cs="Times New Roman" w:eastAsia="Times New Roman" w:hAnsi="Times New Roman"/>
          <w:sz w:val="16"/>
          <w:szCs w:val="16"/>
          <w:color w:val="auto"/>
        </w:rPr>
        <w:t>For a summary of recently issued accounting pronouncements, see Note 2(ii) to the consolidated financial statements of our company pursuant to Item 17 of Part III of this annual report.</w:t>
      </w:r>
    </w:p>
    <w:p>
      <w:pPr>
        <w:spacing w:after="0" w:line="274" w:lineRule="exact"/>
        <w:rPr>
          <w:sz w:val="20"/>
          <w:szCs w:val="20"/>
          <w:color w:val="auto"/>
        </w:rPr>
      </w:pPr>
    </w:p>
    <w:p>
      <w:pPr>
        <w:ind w:left="1100" w:hanging="393"/>
        <w:spacing w:after="0"/>
        <w:tabs>
          <w:tab w:leader="none" w:pos="1100"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Liquidity and Capital Resources</w:t>
      </w:r>
    </w:p>
    <w:p>
      <w:pPr>
        <w:spacing w:after="0" w:line="107" w:lineRule="exact"/>
        <w:rPr>
          <w:rFonts w:ascii="Times New Roman" w:cs="Times New Roman" w:eastAsia="Times New Roman" w:hAnsi="Times New Roman"/>
          <w:sz w:val="16"/>
          <w:szCs w:val="16"/>
          <w:b w:val="1"/>
          <w:bCs w:val="1"/>
          <w:color w:val="auto"/>
        </w:rPr>
      </w:pPr>
    </w:p>
    <w:p>
      <w:pPr>
        <w:ind w:left="11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sets forth a summary of our cash flows for the periods presented:</w:t>
      </w:r>
    </w:p>
    <w:p>
      <w:pPr>
        <w:spacing w:after="0" w:line="220" w:lineRule="exact"/>
        <w:rPr>
          <w:sz w:val="20"/>
          <w:szCs w:val="20"/>
          <w:color w:val="auto"/>
        </w:rPr>
      </w:pPr>
    </w:p>
    <w:tbl>
      <w:tblPr>
        <w:tblLayout w:type="fixed"/>
        <w:tblInd w:w="110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42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580" w:type="dxa"/>
            <w:vAlign w:val="bottom"/>
            <w:tcBorders>
              <w:bottom w:val="single" w:sz="8" w:color="auto"/>
            </w:tcBorders>
          </w:tcPr>
          <w:p>
            <w:pPr>
              <w:jc w:val="right"/>
              <w:ind w:right="85"/>
              <w:spacing w:after="0" w:line="125"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0"/>
                <w:szCs w:val="10"/>
                <w:color w:val="auto"/>
              </w:rPr>
            </w:pPr>
          </w:p>
        </w:tc>
        <w:tc>
          <w:tcPr>
            <w:tcW w:w="620" w:type="dxa"/>
            <w:vAlign w:val="bottom"/>
            <w:tcBorders>
              <w:bottom w:val="single" w:sz="8" w:color="auto"/>
            </w:tcBorders>
          </w:tcPr>
          <w:p>
            <w:pPr>
              <w:jc w:val="right"/>
              <w:ind w:right="105"/>
              <w:spacing w:after="0" w:line="125" w:lineRule="exact"/>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Pr>
          <w:p>
            <w:pPr>
              <w:spacing w:after="0"/>
              <w:rPr>
                <w:sz w:val="10"/>
                <w:szCs w:val="10"/>
                <w:color w:val="auto"/>
              </w:rPr>
            </w:pPr>
          </w:p>
        </w:tc>
        <w:tc>
          <w:tcPr>
            <w:tcW w:w="860" w:type="dxa"/>
            <w:vAlign w:val="bottom"/>
            <w:tcBorders>
              <w:bottom w:val="single" w:sz="8" w:color="auto"/>
            </w:tcBorders>
            <w:gridSpan w:val="2"/>
          </w:tcPr>
          <w:p>
            <w:pPr>
              <w:jc w:val="right"/>
              <w:ind w:right="40"/>
              <w:spacing w:after="0" w:line="125" w:lineRule="exact"/>
              <w:rPr>
                <w:sz w:val="20"/>
                <w:szCs w:val="20"/>
                <w:color w:val="auto"/>
              </w:rPr>
            </w:pPr>
            <w:r>
              <w:rPr>
                <w:rFonts w:ascii="Times New Roman" w:cs="Times New Roman" w:eastAsia="Times New Roman" w:hAnsi="Times New Roman"/>
                <w:sz w:val="13"/>
                <w:szCs w:val="13"/>
                <w:b w:val="1"/>
                <w:bCs w:val="1"/>
                <w:color w:val="auto"/>
              </w:rPr>
              <w:t>2022</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580" w:type="dxa"/>
            <w:vAlign w:val="bottom"/>
            <w:tcBorders>
              <w:bottom w:val="single" w:sz="8" w:color="auto"/>
            </w:tcBorders>
          </w:tcPr>
          <w:p>
            <w:pPr>
              <w:jc w:val="right"/>
              <w:ind w:right="65"/>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40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500" w:type="dxa"/>
            <w:vAlign w:val="bottom"/>
            <w:tcBorders>
              <w:bottom w:val="single" w:sz="8" w:color="auto"/>
            </w:tcBorders>
          </w:tcPr>
          <w:p>
            <w:pPr>
              <w:ind w:left="120"/>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4"/>
          </w:tcPr>
          <w:p>
            <w:pPr>
              <w:jc w:val="right"/>
              <w:ind w:right="560"/>
              <w:spacing w:after="0" w:line="125"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in)/provided by operating activities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137,666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(175,917)</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(85,067)</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(12,332)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by/(used in) investing activities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(31,078)</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(80,926)</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(56,286)</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(8,161)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by/(used in) financing activities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383,053</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141,891</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(101,133)</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(14,663)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(10,020)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(5,012)</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9,587</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1,390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(decrease)/increase in cash and cash equivalents and restricted cash</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479,621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(119,964)</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(232,899)</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(33,766)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the year</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249,327</w:t>
            </w: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728,948</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608,984</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88,294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the year</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728,948</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608,984</w:t>
            </w: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376,085</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54,528</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700" w:right="20" w:firstLine="393"/>
        <w:spacing w:after="0" w:line="267" w:lineRule="auto"/>
        <w:rPr>
          <w:sz w:val="20"/>
          <w:szCs w:val="20"/>
          <w:color w:val="auto"/>
        </w:rPr>
      </w:pPr>
      <w:r>
        <w:rPr>
          <w:rFonts w:ascii="Times New Roman" w:cs="Times New Roman" w:eastAsia="Times New Roman" w:hAnsi="Times New Roman"/>
          <w:sz w:val="16"/>
          <w:szCs w:val="16"/>
          <w:color w:val="auto"/>
        </w:rPr>
        <w:t>To date, we have financed our operating and investing activities through cash generated from our operations and from historical financing activities. We believe that our current cash and cash equivalents and our anticipated cash flows from operations will be sufficient to meet our anticipated working capital requirements and capital expenditures for at least the next 12 months.</w:t>
      </w:r>
    </w:p>
    <w:p>
      <w:pPr>
        <w:spacing w:after="0" w:line="155" w:lineRule="exact"/>
        <w:rPr>
          <w:sz w:val="20"/>
          <w:szCs w:val="20"/>
          <w:color w:val="auto"/>
        </w:rPr>
      </w:pPr>
    </w:p>
    <w:p>
      <w:pPr>
        <w:ind w:left="700" w:right="200" w:firstLine="393"/>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Cash and cash equivalents. </w:t>
      </w:r>
      <w:r>
        <w:rPr>
          <w:rFonts w:ascii="Times New Roman" w:cs="Times New Roman" w:eastAsia="Times New Roman" w:hAnsi="Times New Roman"/>
          <w:sz w:val="16"/>
          <w:szCs w:val="16"/>
          <w:color w:val="auto"/>
        </w:rPr>
        <w:t>Our cash and cash equivalents consist of cash on hand, bank deposits and short-term, highly liquid investments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readily convertible to known amounts of cash. As of December 31, 2020, 2021 and 2022, respectively, our cash and cash equivalents were RMB404.6 million, RMB381.2 million and RMB277.2 million (US$40.2 million).</w:t>
      </w:r>
    </w:p>
    <w:p>
      <w:pPr>
        <w:spacing w:after="0" w:line="153"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Restricted cash. </w:t>
      </w:r>
      <w:r>
        <w:rPr>
          <w:rFonts w:ascii="Times New Roman" w:cs="Times New Roman" w:eastAsia="Times New Roman" w:hAnsi="Times New Roman"/>
          <w:sz w:val="16"/>
          <w:szCs w:val="16"/>
          <w:color w:val="auto"/>
        </w:rPr>
        <w:t>Our restricted cash was RMB324.3 million, RMB227.8 million and RMB98.9 million (US$14.3 million) as of December 31,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2020, 2021 and 2022, respectively. Our restricted cash consists of (i) unremitted net insurance premiums, (ii) pledged deposit and (iii) guarantee deposit. In our capacity as an insurance broker, we collect premiums from our insurance clients and remit the premiums to the insurer partner who underwrites the respective insurance product. Unremitted net insurance premiums are held in a fiduciary capacity until disbursed by us, and we report the amount of such unremitted net insurance premiums as restricted cash. Unremitted net insurance premiums were RMB193.5 million, RMB126.7 million and RMB30.6 million (US$4.4 million) as of December 31, 2020, 2021 and 2022, respectively. During the year ended December 31, 2022, Hong Kong Smart Choice Ventures Limited, one of our subsidiaries, provided security for the loan of Huize Insurance Brokage Co. Ltd. and Shenzhen Huize Shidai Co., Ltd., two subsidiaries of us, by pledged deposits. The amount of pledged deposits as of December 31, 2022, was RMB43.5 million (US$6.3 million), compared to RMB75.8 million as of December 31, 2021. We pay guarantee deposit required by China Banking and Insurance Regulatory Commission in order to protect insurance premium appropriation by insurance broker. The amount of guarantee deposit was RMB24.5 million, RMB25.3 million and RMB24.9 million (US$3.6 million) as of December 31, 2020, 2021 and 2022, respectively.</w:t>
      </w:r>
    </w:p>
    <w:p>
      <w:pPr>
        <w:spacing w:after="0" w:line="163" w:lineRule="exact"/>
        <w:rPr>
          <w:sz w:val="20"/>
          <w:szCs w:val="20"/>
          <w:color w:val="auto"/>
        </w:rPr>
      </w:pPr>
    </w:p>
    <w:p>
      <w:pPr>
        <w:ind w:left="700" w:right="320" w:firstLine="393"/>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Accounts receivable, net of allowance for doubtful accounts. </w:t>
      </w:r>
      <w:r>
        <w:rPr>
          <w:rFonts w:ascii="Times New Roman" w:cs="Times New Roman" w:eastAsia="Times New Roman" w:hAnsi="Times New Roman"/>
          <w:sz w:val="16"/>
          <w:szCs w:val="16"/>
          <w:color w:val="auto"/>
        </w:rPr>
        <w:t>Our account</w:t>
      </w:r>
      <w:r>
        <w:rPr>
          <w:rFonts w:ascii="Times New Roman" w:cs="Times New Roman" w:eastAsia="Times New Roman" w:hAnsi="Times New Roman"/>
          <w:sz w:val="16"/>
          <w:szCs w:val="16"/>
          <w:i w:val="1"/>
          <w:iCs w:val="1"/>
          <w:color w:val="auto"/>
        </w:rPr>
        <w:t xml:space="preserve">s </w:t>
      </w:r>
      <w:r>
        <w:rPr>
          <w:rFonts w:ascii="Times New Roman" w:cs="Times New Roman" w:eastAsia="Times New Roman" w:hAnsi="Times New Roman"/>
          <w:sz w:val="16"/>
          <w:szCs w:val="16"/>
          <w:color w:val="auto"/>
        </w:rPr>
        <w:t>receivable, net of allowance for doubtful accounts was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RMB232.6 million, RMB777.3 million and RMB250.7 million (US$36.3 million) as of December 31, 2020, 2021 and 2022, respectively. Account</w:t>
      </w:r>
      <w:r>
        <w:rPr>
          <w:rFonts w:ascii="Times New Roman" w:cs="Times New Roman" w:eastAsia="Times New Roman" w:hAnsi="Times New Roman"/>
          <w:sz w:val="16"/>
          <w:szCs w:val="16"/>
          <w:i w:val="1"/>
          <w:iCs w:val="1"/>
          <w:color w:val="auto"/>
        </w:rPr>
        <w:t>s</w:t>
      </w:r>
      <w:r>
        <w:rPr>
          <w:rFonts w:ascii="Times New Roman" w:cs="Times New Roman" w:eastAsia="Times New Roman" w:hAnsi="Times New Roman"/>
          <w:sz w:val="16"/>
          <w:szCs w:val="16"/>
          <w:color w:val="auto"/>
        </w:rPr>
        <w:t xml:space="preserve"> receivable, net of allowance for doubtful accounts primarily consists of commission fee receivable.</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126</w:t>
      </w:r>
    </w:p>
    <w:p>
      <w:pPr>
        <w:sectPr>
          <w:pgSz w:w="11900" w:h="16838" w:orient="portrait"/>
          <w:cols w:equalWidth="0" w:num="1">
            <w:col w:w="10520"/>
          </w:cols>
          <w:pgMar w:left="320" w:top="447" w:right="10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both"/>
        <w:ind w:left="700" w:right="80" w:firstLine="393"/>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Account payable. </w:t>
      </w:r>
      <w:r>
        <w:rPr>
          <w:rFonts w:ascii="Times New Roman" w:cs="Times New Roman" w:eastAsia="Times New Roman" w:hAnsi="Times New Roman"/>
          <w:sz w:val="16"/>
          <w:szCs w:val="16"/>
          <w:color w:val="auto"/>
        </w:rPr>
        <w:t>Our account payable primarily consists of service fees to be paid to our user traffic channels. Our accounts payable were RMB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227.5 million, RMB680.4 million and RMB262.3 million (US$38.0 million) as of December 31, 2020, 2021 and 2022, respectively. The decrease was primarily due to a decrease of service fees to be paid to our user traffic channels.</w:t>
      </w:r>
    </w:p>
    <w:p>
      <w:pPr>
        <w:spacing w:after="0" w:line="153" w:lineRule="exact"/>
        <w:rPr>
          <w:sz w:val="20"/>
          <w:szCs w:val="20"/>
          <w:color w:val="auto"/>
        </w:rPr>
      </w:pPr>
    </w:p>
    <w:p>
      <w:pPr>
        <w:ind w:left="700" w:right="60" w:firstLine="393"/>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Insurance premium payables. </w:t>
      </w:r>
      <w:r>
        <w:rPr>
          <w:rFonts w:ascii="Times New Roman" w:cs="Times New Roman" w:eastAsia="Times New Roman" w:hAnsi="Times New Roman"/>
          <w:sz w:val="16"/>
          <w:szCs w:val="16"/>
          <w:color w:val="auto"/>
        </w:rPr>
        <w:t>Our insurance premium payables was RMB187.2 million, RMB124.0 million and RMB27.6 million (US$4.0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as of December 31, 2020, 2021 and 2022, respectively. Our insurance premium payables primarily consist of insurance premiums collected on behalf of our insurer partners but not yet remitted as of the balance sheet dates.</w:t>
      </w:r>
    </w:p>
    <w:p>
      <w:pPr>
        <w:spacing w:after="0" w:line="155" w:lineRule="exact"/>
        <w:rPr>
          <w:sz w:val="20"/>
          <w:szCs w:val="20"/>
          <w:color w:val="auto"/>
        </w:rPr>
      </w:pPr>
    </w:p>
    <w:p>
      <w:pPr>
        <w:ind w:left="700" w:right="40" w:firstLine="393"/>
        <w:spacing w:after="0" w:line="262" w:lineRule="auto"/>
        <w:rPr>
          <w:sz w:val="20"/>
          <w:szCs w:val="20"/>
          <w:color w:val="auto"/>
        </w:rPr>
      </w:pPr>
      <w:r>
        <w:rPr>
          <w:rFonts w:ascii="Times New Roman" w:cs="Times New Roman" w:eastAsia="Times New Roman" w:hAnsi="Times New Roman"/>
          <w:sz w:val="16"/>
          <w:szCs w:val="16"/>
          <w:color w:val="auto"/>
        </w:rPr>
        <w:t>In the future, we may decide to enhance our liquidity position or increase our cash reserve for future investments through additional capital and finance funding.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61" w:lineRule="exact"/>
        <w:rPr>
          <w:sz w:val="20"/>
          <w:szCs w:val="20"/>
          <w:color w:val="auto"/>
        </w:rPr>
      </w:pPr>
    </w:p>
    <w:p>
      <w:pPr>
        <w:jc w:val="both"/>
        <w:ind w:left="700" w:firstLine="393"/>
        <w:spacing w:after="0" w:line="258" w:lineRule="auto"/>
        <w:rPr>
          <w:sz w:val="20"/>
          <w:szCs w:val="20"/>
          <w:color w:val="auto"/>
        </w:rPr>
      </w:pPr>
      <w:r>
        <w:rPr>
          <w:rFonts w:ascii="Times New Roman" w:cs="Times New Roman" w:eastAsia="Times New Roman" w:hAnsi="Times New Roman"/>
          <w:sz w:val="16"/>
          <w:szCs w:val="16"/>
          <w:color w:val="auto"/>
        </w:rPr>
        <w:t>As of December 31, 2022, 69.64% of our cash and cash equivalents and restricted cash were held in China, and 69.46% were held by the VIE and denominated in Renminbi. Although we consolidate the results of the VIE and its subsidiaries, we only have access to the assets or earnings of the VIE and its subsidiaries through our contractual arrangements with the VIE and its shareholders. See “Item 4. Information on the Company—C.</w:t>
      </w:r>
    </w:p>
    <w:p>
      <w:pPr>
        <w:spacing w:after="0" w:line="1" w:lineRule="exact"/>
        <w:rPr>
          <w:sz w:val="20"/>
          <w:szCs w:val="20"/>
          <w:color w:val="auto"/>
        </w:rPr>
      </w:pPr>
    </w:p>
    <w:p>
      <w:pPr>
        <w:ind w:left="700" w:right="400"/>
        <w:spacing w:after="0" w:line="263" w:lineRule="auto"/>
        <w:rPr>
          <w:sz w:val="20"/>
          <w:szCs w:val="20"/>
          <w:color w:val="auto"/>
        </w:rPr>
      </w:pPr>
      <w:r>
        <w:rPr>
          <w:rFonts w:ascii="Times New Roman" w:cs="Times New Roman" w:eastAsia="Times New Roman" w:hAnsi="Times New Roman"/>
          <w:sz w:val="16"/>
          <w:szCs w:val="16"/>
          <w:color w:val="auto"/>
        </w:rPr>
        <w:t>Organizational Structure—Contractual Arrangements with The VIE and Its Shareholders.” For restrictions and limitations on liquidity and capital resources as a result of our corporate structure, see “—Holding Company Structure.”</w:t>
      </w:r>
    </w:p>
    <w:p>
      <w:pPr>
        <w:spacing w:after="0" w:line="159" w:lineRule="exact"/>
        <w:rPr>
          <w:sz w:val="20"/>
          <w:szCs w:val="20"/>
          <w:color w:val="auto"/>
        </w:rPr>
      </w:pPr>
    </w:p>
    <w:p>
      <w:pPr>
        <w:ind w:left="700" w:right="120" w:firstLine="393"/>
        <w:spacing w:after="0" w:line="267" w:lineRule="auto"/>
        <w:rPr>
          <w:sz w:val="20"/>
          <w:szCs w:val="20"/>
          <w:color w:val="auto"/>
        </w:rPr>
      </w:pPr>
      <w:r>
        <w:rPr>
          <w:rFonts w:ascii="Times New Roman" w:cs="Times New Roman" w:eastAsia="Times New Roman" w:hAnsi="Times New Roman"/>
          <w:sz w:val="16"/>
          <w:szCs w:val="16"/>
          <w:color w:val="auto"/>
        </w:rPr>
        <w:t>In utilizing the proceeds we received from our initial public offering, we may make additional capital contributions to our WFOE, establish new PRC subsidiaries and make capital contributions to these new PRC subsidiaries, make loans to our PRC subsidiary, or acquire offshore entities with operations in China in offshore transactions. However, most of these uses are subject to PRC regulations.</w:t>
      </w:r>
    </w:p>
    <w:p>
      <w:pPr>
        <w:spacing w:after="0" w:line="157" w:lineRule="exact"/>
        <w:rPr>
          <w:sz w:val="20"/>
          <w:szCs w:val="20"/>
          <w:color w:val="auto"/>
        </w:rPr>
      </w:pPr>
    </w:p>
    <w:p>
      <w:pPr>
        <w:ind w:left="700" w:right="100" w:firstLine="393"/>
        <w:spacing w:after="0" w:line="262" w:lineRule="auto"/>
        <w:rPr>
          <w:sz w:val="20"/>
          <w:szCs w:val="20"/>
          <w:color w:val="auto"/>
        </w:rPr>
      </w:pPr>
      <w:r>
        <w:rPr>
          <w:rFonts w:ascii="Times New Roman" w:cs="Times New Roman" w:eastAsia="Times New Roman" w:hAnsi="Times New Roman"/>
          <w:sz w:val="16"/>
          <w:szCs w:val="16"/>
          <w:color w:val="auto"/>
        </w:rPr>
        <w:t>See “Item 3. Key Information—D. Risk Factors—Risks Relating to Doing Business in China—PRC regulation of loans to and direct investment in PRC entities by offshore holding companies and governmental control of conversion of foreign currencies into Renminbi may delay or prevent us from using the proceeds of our initial public offering to make loans to our WFOE and VIE or to make additional capital contributions to our PRC subsidiaries, which could materially and adversely affect our liquidity and our ability to fund and expand our business.”</w:t>
      </w:r>
    </w:p>
    <w:p>
      <w:pPr>
        <w:spacing w:after="0" w:line="161" w:lineRule="exact"/>
        <w:rPr>
          <w:sz w:val="20"/>
          <w:szCs w:val="20"/>
          <w:color w:val="auto"/>
        </w:rPr>
      </w:pPr>
    </w:p>
    <w:p>
      <w:pPr>
        <w:ind w:left="700" w:right="340" w:firstLine="393"/>
        <w:spacing w:after="0" w:line="267" w:lineRule="auto"/>
        <w:rPr>
          <w:sz w:val="20"/>
          <w:szCs w:val="20"/>
          <w:color w:val="auto"/>
        </w:rPr>
      </w:pPr>
      <w:r>
        <w:rPr>
          <w:rFonts w:ascii="Times New Roman" w:cs="Times New Roman" w:eastAsia="Times New Roman" w:hAnsi="Times New Roman"/>
          <w:sz w:val="16"/>
          <w:szCs w:val="16"/>
          <w:color w:val="auto"/>
        </w:rPr>
        <w:t>A majority of our future revenues are likely to continue to be in the form of Renminbi. Under existing PRC foreign exchange regulations, Renminbi may be converted into foreign exchange for current account items, including profit distributions, interest payments and trade and service related foreign exchange transactions.</w:t>
      </w:r>
    </w:p>
    <w:p>
      <w:pPr>
        <w:spacing w:after="0" w:line="157" w:lineRule="exact"/>
        <w:rPr>
          <w:sz w:val="20"/>
          <w:szCs w:val="20"/>
          <w:color w:val="auto"/>
        </w:rPr>
      </w:pPr>
    </w:p>
    <w:p>
      <w:pPr>
        <w:ind w:left="700" w:right="40" w:firstLine="393"/>
        <w:spacing w:after="0" w:line="256" w:lineRule="auto"/>
        <w:rPr>
          <w:sz w:val="20"/>
          <w:szCs w:val="20"/>
          <w:color w:val="auto"/>
        </w:rPr>
      </w:pPr>
      <w:r>
        <w:rPr>
          <w:rFonts w:ascii="Times New Roman" w:cs="Times New Roman" w:eastAsia="Times New Roman" w:hAnsi="Times New Roman"/>
          <w:sz w:val="16"/>
          <w:szCs w:val="16"/>
          <w:color w:val="auto"/>
        </w:rPr>
        <w:t>We expect that substantially all of our future revenues will be denominated in Renminbi.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subsidiary is allowed to pay dividends in foreign currencies to us without prior SAFE approval by following certain routine procedural requirements. However, approval from or registration with competent government authorities is required where the Renminbi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109"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Net cash used in operating activities in 2022 was RMB85.1 million (US$12.3 million), as compare to a net loss of RMB33.7 million in the same period. The difference was primarily due to an increase in accounts payable of RMB428.6 million, a decrease in insurance premium payables of RMB96.5 million, an increase in contract assets of RMB56.5 million and a decrease in payroll and welfare payable of RMB49.8 million, partially offset by a decrease in accounts receivable of RMB531.0 million and a decrease in prepaid expense and other receivables of RMB22.8 million.</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127</w:t>
      </w:r>
    </w:p>
    <w:p>
      <w:pPr>
        <w:sectPr>
          <w:pgSz w:w="11900" w:h="16838" w:orient="portrait"/>
          <w:cols w:equalWidth="0" w:num="1">
            <w:col w:w="10480"/>
          </w:cols>
          <w:pgMar w:left="320" w:top="447" w:right="10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Net cash used in operating activities in 2021 was RMB175.9 million, as compared to a net loss of RMB107.7 million in the same period. The difference was primarily due to a decrease in accounts receivable of RMB545.7 million, a decrease in insurance premium payables of RMB63.2 million and a decrease in prepaid expense and other receivables of RMB40.0 million, partially offset by an increase in accounts payable of RMB452.6 million, an increase in other payables and accrued expenses of RMB29.9 million and an increase in payroll and welfare payable RMB25.6 million.</w:t>
      </w:r>
    </w:p>
    <w:p>
      <w:pPr>
        <w:spacing w:after="0" w:line="161" w:lineRule="exact"/>
        <w:rPr>
          <w:sz w:val="20"/>
          <w:szCs w:val="20"/>
          <w:color w:val="auto"/>
        </w:rPr>
      </w:pPr>
    </w:p>
    <w:p>
      <w:pPr>
        <w:ind w:left="700" w:right="20" w:firstLine="393"/>
        <w:spacing w:after="0" w:line="259" w:lineRule="auto"/>
        <w:rPr>
          <w:sz w:val="20"/>
          <w:szCs w:val="20"/>
          <w:color w:val="auto"/>
        </w:rPr>
      </w:pPr>
      <w:r>
        <w:rPr>
          <w:rFonts w:ascii="Times New Roman" w:cs="Times New Roman" w:eastAsia="Times New Roman" w:hAnsi="Times New Roman"/>
          <w:sz w:val="16"/>
          <w:szCs w:val="16"/>
          <w:color w:val="auto"/>
        </w:rPr>
        <w:t>Net cash provided by operating activities in 2020 was RMB137.7 million, as compared to a net loss of RMB18.3 million in the same period. The difference was primarily due to an increase in accounts payable of RMB103.1 million, an increase in insurance premium payables of RMB61.6 million, share-based compensation expense of RMB35.9 million and an increase in payroll and welfare payable of RMB24.1 million, partially offset by an increase in accounts receivable of RMB52.8 million and an increase in prepaid expense and other receivables of RMB30.8 million. The incurrence of share-based compensation expense was due to the issuance of restricted shares in 2019 to Bodyguard Holding Limited, our ESOP platform.</w:t>
      </w:r>
    </w:p>
    <w:p>
      <w:pPr>
        <w:spacing w:after="0" w:line="2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109" w:lineRule="exact"/>
        <w:rPr>
          <w:sz w:val="20"/>
          <w:szCs w:val="20"/>
          <w:color w:val="auto"/>
        </w:rPr>
      </w:pPr>
    </w:p>
    <w:p>
      <w:pPr>
        <w:jc w:val="both"/>
        <w:ind w:left="700" w:right="1020" w:firstLine="393"/>
        <w:spacing w:after="0" w:line="267" w:lineRule="auto"/>
        <w:rPr>
          <w:sz w:val="20"/>
          <w:szCs w:val="20"/>
          <w:color w:val="auto"/>
        </w:rPr>
      </w:pPr>
      <w:r>
        <w:rPr>
          <w:rFonts w:ascii="Times New Roman" w:cs="Times New Roman" w:eastAsia="Times New Roman" w:hAnsi="Times New Roman"/>
          <w:sz w:val="16"/>
          <w:szCs w:val="16"/>
          <w:color w:val="auto"/>
        </w:rPr>
        <w:t>Net cash used in investing activities in 2022 was RMB56.3 million (US$8.2 million), primarily due to acquisition of subsidiary of RMB26.0 million, purchase of property, equipment and intangible assets of RMB16.8 million and purchase of long-term investment of RMB10.0 million in 2022.</w:t>
      </w:r>
    </w:p>
    <w:p>
      <w:pPr>
        <w:spacing w:after="0" w:line="157" w:lineRule="exact"/>
        <w:rPr>
          <w:sz w:val="20"/>
          <w:szCs w:val="20"/>
          <w:color w:val="auto"/>
        </w:rPr>
      </w:pPr>
    </w:p>
    <w:p>
      <w:pPr>
        <w:ind w:left="700" w:right="300" w:firstLine="393"/>
        <w:spacing w:after="0" w:line="284" w:lineRule="auto"/>
        <w:rPr>
          <w:sz w:val="20"/>
          <w:szCs w:val="20"/>
          <w:color w:val="auto"/>
        </w:rPr>
      </w:pPr>
      <w:r>
        <w:rPr>
          <w:rFonts w:ascii="Times New Roman" w:cs="Times New Roman" w:eastAsia="Times New Roman" w:hAnsi="Times New Roman"/>
          <w:sz w:val="16"/>
          <w:szCs w:val="16"/>
          <w:color w:val="auto"/>
        </w:rPr>
        <w:t>Net cash used in investing activities in 2021 was RMB80.9 million, primarily due to purchase of property, equipment and intangible assets of RMB38.1 million, purchase of long-term investment of RMB33.6 million and acquisition of subsidiary of RMB14.3 million in 2021.</w:t>
      </w:r>
    </w:p>
    <w:p>
      <w:pPr>
        <w:spacing w:after="0" w:line="143" w:lineRule="exact"/>
        <w:rPr>
          <w:sz w:val="20"/>
          <w:szCs w:val="20"/>
          <w:color w:val="auto"/>
        </w:rPr>
      </w:pPr>
    </w:p>
    <w:p>
      <w:pPr>
        <w:ind w:left="700" w:right="120" w:firstLine="393"/>
        <w:spacing w:after="0" w:line="284" w:lineRule="auto"/>
        <w:rPr>
          <w:sz w:val="20"/>
          <w:szCs w:val="20"/>
          <w:color w:val="auto"/>
        </w:rPr>
      </w:pPr>
      <w:r>
        <w:rPr>
          <w:rFonts w:ascii="Times New Roman" w:cs="Times New Roman" w:eastAsia="Times New Roman" w:hAnsi="Times New Roman"/>
          <w:sz w:val="16"/>
          <w:szCs w:val="16"/>
          <w:color w:val="auto"/>
        </w:rPr>
        <w:t>Net cash used in investing activities in 2020 was RMB31.1 million, primarily due to purchase of long-term investment of RMB22.5 million and purchase of property, equipment and intangible assets of RMB8.2 million in 2020.</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109" w:lineRule="exact"/>
        <w:rPr>
          <w:sz w:val="20"/>
          <w:szCs w:val="20"/>
          <w:color w:val="auto"/>
        </w:rPr>
      </w:pPr>
    </w:p>
    <w:p>
      <w:pPr>
        <w:ind w:left="700" w:right="740" w:firstLine="393"/>
        <w:spacing w:after="0" w:line="284" w:lineRule="auto"/>
        <w:rPr>
          <w:sz w:val="20"/>
          <w:szCs w:val="20"/>
          <w:color w:val="auto"/>
        </w:rPr>
      </w:pPr>
      <w:r>
        <w:rPr>
          <w:rFonts w:ascii="Times New Roman" w:cs="Times New Roman" w:eastAsia="Times New Roman" w:hAnsi="Times New Roman"/>
          <w:sz w:val="16"/>
          <w:szCs w:val="16"/>
          <w:color w:val="auto"/>
        </w:rPr>
        <w:t>Net cash used in financing activities in 2022 was RMB101.1 million (US$14.7 million), primarily due to repayments of borrowings of RMB367.5 million, partially offset by proceeds from borrowings of RMB270.2 million.</w:t>
      </w:r>
    </w:p>
    <w:p>
      <w:pPr>
        <w:spacing w:after="0" w:line="143" w:lineRule="exact"/>
        <w:rPr>
          <w:sz w:val="20"/>
          <w:szCs w:val="20"/>
          <w:color w:val="auto"/>
        </w:rPr>
      </w:pPr>
    </w:p>
    <w:p>
      <w:pPr>
        <w:ind w:left="700" w:right="340" w:firstLine="393"/>
        <w:spacing w:after="0" w:line="284" w:lineRule="auto"/>
        <w:rPr>
          <w:sz w:val="20"/>
          <w:szCs w:val="20"/>
          <w:color w:val="auto"/>
        </w:rPr>
      </w:pPr>
      <w:r>
        <w:rPr>
          <w:rFonts w:ascii="Times New Roman" w:cs="Times New Roman" w:eastAsia="Times New Roman" w:hAnsi="Times New Roman"/>
          <w:sz w:val="16"/>
          <w:szCs w:val="16"/>
          <w:color w:val="auto"/>
        </w:rPr>
        <w:t>Net cash provided by financing activities in 2021 was RMB141.9 million, primarily due to proceeds from borrowings of RMB184.0 million, partially offset by repayment of borrowings of RMB40.5 million and cash used in share repurchase of RMB3.0 million.</w:t>
      </w:r>
    </w:p>
    <w:p>
      <w:pPr>
        <w:spacing w:after="0" w:line="143" w:lineRule="exact"/>
        <w:rPr>
          <w:sz w:val="20"/>
          <w:szCs w:val="20"/>
          <w:color w:val="auto"/>
        </w:rPr>
      </w:pPr>
    </w:p>
    <w:p>
      <w:pPr>
        <w:ind w:left="700" w:right="480" w:firstLine="393"/>
        <w:spacing w:after="0" w:line="267" w:lineRule="auto"/>
        <w:rPr>
          <w:sz w:val="20"/>
          <w:szCs w:val="20"/>
          <w:color w:val="auto"/>
        </w:rPr>
      </w:pPr>
      <w:r>
        <w:rPr>
          <w:rFonts w:ascii="Times New Roman" w:cs="Times New Roman" w:eastAsia="Times New Roman" w:hAnsi="Times New Roman"/>
          <w:sz w:val="16"/>
          <w:szCs w:val="16"/>
          <w:color w:val="auto"/>
        </w:rPr>
        <w:t>Net cash provided by financing activities in 2020 was RMB383.1 million, primarily due to proceeds from our initial public offering, net of issuance costs of RMB340.5 million and proceeds from borrowings of RMB105.4 million, partially offset by repayments of borrowings of RMB61.3 million.</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Capital Expenditures</w:t>
      </w:r>
    </w:p>
    <w:p>
      <w:pPr>
        <w:spacing w:after="0" w:line="107" w:lineRule="exact"/>
        <w:rPr>
          <w:sz w:val="20"/>
          <w:szCs w:val="20"/>
          <w:color w:val="auto"/>
        </w:rPr>
      </w:pPr>
    </w:p>
    <w:p>
      <w:pPr>
        <w:ind w:left="700" w:right="80" w:firstLine="393"/>
        <w:spacing w:after="0" w:line="267" w:lineRule="auto"/>
        <w:rPr>
          <w:sz w:val="20"/>
          <w:szCs w:val="20"/>
          <w:color w:val="auto"/>
        </w:rPr>
      </w:pPr>
      <w:r>
        <w:rPr>
          <w:rFonts w:ascii="Times New Roman" w:cs="Times New Roman" w:eastAsia="Times New Roman" w:hAnsi="Times New Roman"/>
          <w:sz w:val="16"/>
          <w:szCs w:val="16"/>
          <w:color w:val="auto"/>
        </w:rPr>
        <w:t>Our capital expenditures were RMB8.2 million, RMB38.1 million and RMB16.8 million (US$2.4 million) in 2020, 2021 and 2022. We intend to fund our future capital expenditures with our existing cash balance and cash flow from operating activities. We will continue to make capital expenditures to meet the expected growth of our business.</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Material Cash Requirements</w:t>
      </w:r>
    </w:p>
    <w:p>
      <w:pPr>
        <w:spacing w:after="0" w:line="107"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Our material cash requirements as of December 31, 2022, and any subsequent interim period primarily include our capital expenditures, operating lease obligations, investment commitments, short-term and long-term borrowings.</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128</w:t>
      </w:r>
    </w:p>
    <w:p>
      <w:pPr>
        <w:sectPr>
          <w:pgSz w:w="11900" w:h="16838" w:orient="portrait"/>
          <w:cols w:equalWidth="0" w:num="1">
            <w:col w:w="10480"/>
          </w:cols>
          <w:pgMar w:left="320" w:top="447" w:right="10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Our capital expenditures primarily consist of purchases of computers, office equipment and software. Our capital expenditures were</w:t>
      </w:r>
    </w:p>
    <w:p>
      <w:pPr>
        <w:spacing w:after="0" w:line="25" w:lineRule="exact"/>
        <w:rPr>
          <w:sz w:val="20"/>
          <w:szCs w:val="20"/>
          <w:color w:val="auto"/>
        </w:rPr>
      </w:pPr>
    </w:p>
    <w:p>
      <w:pPr>
        <w:ind w:left="700" w:right="160"/>
        <w:spacing w:after="0" w:line="263" w:lineRule="auto"/>
        <w:rPr>
          <w:sz w:val="20"/>
          <w:szCs w:val="20"/>
          <w:color w:val="auto"/>
        </w:rPr>
      </w:pPr>
      <w:r>
        <w:rPr>
          <w:rFonts w:ascii="Times New Roman" w:cs="Times New Roman" w:eastAsia="Times New Roman" w:hAnsi="Times New Roman"/>
          <w:sz w:val="16"/>
          <w:szCs w:val="16"/>
          <w:color w:val="auto"/>
        </w:rPr>
        <w:t>RMB8.2 million in 2020, RMB38.1 million in 2021 and RMB16.8 million (US$2.4 million) in 2022. We will continue to make capital expenditures to meet the expected growth of our business.</w:t>
      </w:r>
    </w:p>
    <w:p>
      <w:pPr>
        <w:spacing w:after="0" w:line="159" w:lineRule="exact"/>
        <w:rPr>
          <w:sz w:val="20"/>
          <w:szCs w:val="20"/>
          <w:color w:val="auto"/>
        </w:rPr>
      </w:pPr>
    </w:p>
    <w:p>
      <w:pPr>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Our operating lease obligations consist of the commitments under the lease agreements for our office premises. We lease our office facilities under non-cancelable operating leases with various expiration dates. Our leasing expense was RMB8.9 million, RMB46.5 million and RMB41.2 million (US$6.0 million) for the years ended December 31, 2020, 2021 and 2022, respectively. The majority of our operating lease commitments are related to our office lease agreements in China.</w:t>
      </w:r>
    </w:p>
    <w:p>
      <w:pPr>
        <w:spacing w:after="0" w:line="1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We had investment commitments of RMB11.0 million (US$1.6 million) as of December 31, 2022.</w:t>
      </w:r>
    </w:p>
    <w:p>
      <w:pPr>
        <w:spacing w:after="0" w:line="202" w:lineRule="exact"/>
        <w:rPr>
          <w:sz w:val="20"/>
          <w:szCs w:val="20"/>
          <w:color w:val="auto"/>
        </w:rPr>
      </w:pPr>
    </w:p>
    <w:p>
      <w:pPr>
        <w:ind w:left="700" w:right="340" w:firstLine="393"/>
        <w:spacing w:after="0" w:line="284" w:lineRule="auto"/>
        <w:rPr>
          <w:sz w:val="20"/>
          <w:szCs w:val="20"/>
          <w:color w:val="auto"/>
        </w:rPr>
      </w:pPr>
      <w:r>
        <w:rPr>
          <w:rFonts w:ascii="Times New Roman" w:cs="Times New Roman" w:eastAsia="Times New Roman" w:hAnsi="Times New Roman"/>
          <w:sz w:val="16"/>
          <w:szCs w:val="16"/>
          <w:color w:val="auto"/>
        </w:rPr>
        <w:t>Short-term and long-term borrowings represent the bank borrowings. As of December 31, 2022, the total amount of our bank borrowings was RMB150.0 million, which will mature in 2023.</w:t>
      </w:r>
    </w:p>
    <w:p>
      <w:pPr>
        <w:spacing w:after="0" w:line="143" w:lineRule="exact"/>
        <w:rPr>
          <w:sz w:val="20"/>
          <w:szCs w:val="20"/>
          <w:color w:val="auto"/>
        </w:rPr>
      </w:pPr>
    </w:p>
    <w:p>
      <w:pPr>
        <w:ind w:left="700" w:right="20" w:firstLine="393"/>
        <w:spacing w:after="0" w:line="284" w:lineRule="auto"/>
        <w:rPr>
          <w:sz w:val="20"/>
          <w:szCs w:val="20"/>
          <w:color w:val="auto"/>
        </w:rPr>
      </w:pPr>
      <w:r>
        <w:rPr>
          <w:rFonts w:ascii="Times New Roman" w:cs="Times New Roman" w:eastAsia="Times New Roman" w:hAnsi="Times New Roman"/>
          <w:sz w:val="16"/>
          <w:szCs w:val="16"/>
          <w:color w:val="auto"/>
        </w:rPr>
        <w:t>We intend to fund our existing and future material cash requirements with our existing cash balance. We will continue to make cash commitments, including capital expenditures, to support the growth of our business.</w:t>
      </w:r>
    </w:p>
    <w:p>
      <w:pPr>
        <w:spacing w:after="0" w:line="143" w:lineRule="exact"/>
        <w:rPr>
          <w:sz w:val="20"/>
          <w:szCs w:val="20"/>
          <w:color w:val="auto"/>
        </w:rPr>
      </w:pPr>
    </w:p>
    <w:p>
      <w:pPr>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We have not entered into any financial guarantees or other commitments to guarantee the payment obligations of any third parties. We do not have retained or contingent interests in assets transferred. We have not entered into contractual arrangements that support the credit, liquidity or market risk for transferred assets. We do not have obligations that arise or could arise from variable interests held in an unconsolidated entity, or obligations related to derivative instruments that are both indexed to and classified in our own equity, or not reflected in the statement of financial position.</w:t>
      </w:r>
    </w:p>
    <w:p>
      <w:pPr>
        <w:spacing w:after="0" w:line="161" w:lineRule="exact"/>
        <w:rPr>
          <w:sz w:val="20"/>
          <w:szCs w:val="20"/>
          <w:color w:val="auto"/>
        </w:rPr>
      </w:pPr>
    </w:p>
    <w:p>
      <w:pPr>
        <w:ind w:left="700" w:right="680" w:firstLine="393"/>
        <w:spacing w:after="0" w:line="284" w:lineRule="auto"/>
        <w:rPr>
          <w:sz w:val="20"/>
          <w:szCs w:val="20"/>
          <w:color w:val="auto"/>
        </w:rPr>
      </w:pPr>
      <w:r>
        <w:rPr>
          <w:rFonts w:ascii="Times New Roman" w:cs="Times New Roman" w:eastAsia="Times New Roman" w:hAnsi="Times New Roman"/>
          <w:sz w:val="16"/>
          <w:szCs w:val="16"/>
          <w:color w:val="auto"/>
        </w:rPr>
        <w:t>Other than as discussed above, we did not have any significant capital and other commitments, long-term obligations or guarantees as of December 31, 2022.</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following table sets forth our contractual obligations as of December 31, 2022:</w:t>
      </w:r>
    </w:p>
    <w:p>
      <w:pPr>
        <w:spacing w:after="0" w:line="203" w:lineRule="exact"/>
        <w:rPr>
          <w:sz w:val="20"/>
          <w:szCs w:val="20"/>
          <w:color w:val="auto"/>
        </w:rPr>
      </w:pPr>
    </w:p>
    <w:tbl>
      <w:tblPr>
        <w:tblLayout w:type="fixed"/>
        <w:tblInd w:w="2280" w:type="dxa"/>
        <w:tblCellMar>
          <w:top w:w="0" w:type="dxa"/>
          <w:left w:w="0" w:type="dxa"/>
          <w:bottom w:w="0" w:type="dxa"/>
          <w:right w:w="0" w:type="dxa"/>
        </w:tblCellMar>
      </w:tblPr>
      <w:tr>
        <w:trPr>
          <w:trHeight w:val="149"/>
        </w:trPr>
        <w:tc>
          <w:tcPr>
            <w:tcW w:w="5280" w:type="dxa"/>
            <w:vAlign w:val="bottom"/>
          </w:tcPr>
          <w:p>
            <w:pPr>
              <w:spacing w:after="0"/>
              <w:rPr>
                <w:sz w:val="12"/>
                <w:szCs w:val="12"/>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Payment Due by Period</w:t>
            </w:r>
          </w:p>
        </w:tc>
      </w:tr>
      <w:tr>
        <w:trPr>
          <w:trHeight w:val="133"/>
        </w:trPr>
        <w:tc>
          <w:tcPr>
            <w:tcW w:w="5280" w:type="dxa"/>
            <w:vAlign w:val="bottom"/>
          </w:tcPr>
          <w:p>
            <w:pPr>
              <w:spacing w:after="0"/>
              <w:rPr>
                <w:sz w:val="11"/>
                <w:szCs w:val="11"/>
                <w:color w:val="auto"/>
              </w:rPr>
            </w:pPr>
          </w:p>
        </w:tc>
        <w:tc>
          <w:tcPr>
            <w:tcW w:w="140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3"/>
                <w:szCs w:val="13"/>
                <w:b w:val="1"/>
                <w:bCs w:val="1"/>
                <w:color w:val="auto"/>
                <w:w w:val="99"/>
              </w:rPr>
              <w:t>As of December 31, 2022</w:t>
            </w:r>
          </w:p>
        </w:tc>
      </w:tr>
      <w:tr>
        <w:trPr>
          <w:trHeight w:val="155"/>
        </w:trPr>
        <w:tc>
          <w:tcPr>
            <w:tcW w:w="5280" w:type="dxa"/>
            <w:vAlign w:val="bottom"/>
          </w:tcPr>
          <w:p>
            <w:pPr>
              <w:spacing w:after="0"/>
              <w:rPr>
                <w:sz w:val="13"/>
                <w:szCs w:val="13"/>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RMB</w:t>
            </w:r>
          </w:p>
        </w:tc>
      </w:tr>
      <w:tr>
        <w:trPr>
          <w:trHeight w:val="173"/>
        </w:trPr>
        <w:tc>
          <w:tcPr>
            <w:tcW w:w="528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Operating Lease Obligations</w:t>
            </w:r>
          </w:p>
        </w:tc>
        <w:tc>
          <w:tcPr>
            <w:tcW w:w="1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19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Within one year (including one year)</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19,100</w:t>
            </w:r>
          </w:p>
        </w:tc>
      </w:tr>
      <w:tr>
        <w:trPr>
          <w:trHeight w:val="19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One to three years (including three years)</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52,643</w:t>
            </w:r>
          </w:p>
        </w:tc>
      </w:tr>
      <w:tr>
        <w:trPr>
          <w:trHeight w:val="19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157,748</w:t>
            </w:r>
          </w:p>
        </w:tc>
      </w:tr>
      <w:tr>
        <w:trPr>
          <w:trHeight w:val="19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229,491</w:t>
            </w:r>
          </w:p>
        </w:tc>
      </w:tr>
    </w:tbl>
    <w:p>
      <w:pPr>
        <w:spacing w:after="0" w:line="176" w:lineRule="exact"/>
        <w:rPr>
          <w:sz w:val="20"/>
          <w:szCs w:val="20"/>
          <w:color w:val="auto"/>
        </w:rPr>
      </w:pPr>
    </w:p>
    <w:p>
      <w:pPr>
        <w:jc w:val="both"/>
        <w:ind w:left="700" w:right="120" w:firstLine="393"/>
        <w:spacing w:after="0" w:line="267" w:lineRule="auto"/>
        <w:rPr>
          <w:sz w:val="20"/>
          <w:szCs w:val="20"/>
          <w:color w:val="auto"/>
        </w:rPr>
      </w:pPr>
      <w:r>
        <w:rPr>
          <w:rFonts w:ascii="Times New Roman" w:cs="Times New Roman" w:eastAsia="Times New Roman" w:hAnsi="Times New Roman"/>
          <w:sz w:val="16"/>
          <w:szCs w:val="16"/>
          <w:color w:val="auto"/>
        </w:rPr>
        <w:t>We recorded rental expense of RMB8.9 million, RMB46.5 million and RMB41.2 million (US$6.0 million) in 2020, 2021 and 2022, respectively. We had investment commitments of RMB11.0 million (US$1.6 million) as of December 31, 2022. Other than what is disclosed above, we did not have other significant commitments, long-term obligations or guarantees as of December 31, 2022.</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Holding Company Structure</w:t>
      </w:r>
    </w:p>
    <w:p>
      <w:pPr>
        <w:spacing w:after="0" w:line="107"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Huize Holding Limited is a holding company with no material operations of its own. We conduct our operations primarily through our WFOE, the VIE and its subsidiaries in China. As a result, our ability to pay dividends depends upon dividends paid by our WFOE. If our existing PRC subsidiary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subsidiaries and the VIE in China is required to set aside at least 10% of its after-tax profits each year, if any, to fund certain statutory reserve funds until such reserve funds reach 50% of their registered capital. In addition, our wholly foreign-owned subsidiaries in China may allocate a portion of their after-tax profits based on PRC accounting standards to enterprise expansion funds and staff bonus and welfare funds at their discretion, and the VIE may allocate a portion of its after-tax profits based on PRC accounting standards to a surplus fund at their discretion. The statutory reserve funds and the discretionary funds are not distributable as cash dividends. Remittance of dividends by a wholly foreign-owned company out of China is subject to examination by the banks designated by SAFE. Our WFOE have not paid dividends and will not be able to pay dividends until they generate accumulated profits and meet the requirements for statutory reserve funds.</w:t>
      </w:r>
    </w:p>
    <w:p>
      <w:pPr>
        <w:spacing w:after="0" w:line="3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129</w:t>
      </w:r>
    </w:p>
    <w:p>
      <w:pPr>
        <w:sectPr>
          <w:pgSz w:w="11900" w:h="16838" w:orient="portrait"/>
          <w:cols w:equalWidth="0" w:num="1">
            <w:col w:w="10540"/>
          </w:cols>
          <w:pgMar w:left="320" w:top="447" w:right="10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1100" w:hanging="393"/>
        <w:spacing w:after="0"/>
        <w:tabs>
          <w:tab w:leader="none" w:pos="1100"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Research and Development, Patents and Licenses, etc.</w:t>
      </w:r>
    </w:p>
    <w:p>
      <w:pPr>
        <w:spacing w:after="0" w:line="107" w:lineRule="exact"/>
        <w:rPr>
          <w:rFonts w:ascii="Times New Roman" w:cs="Times New Roman" w:eastAsia="Times New Roman" w:hAnsi="Times New Roman"/>
          <w:sz w:val="16"/>
          <w:szCs w:val="16"/>
          <w:b w:val="1"/>
          <w:bCs w:val="1"/>
          <w:color w:val="auto"/>
        </w:rPr>
      </w:pPr>
    </w:p>
    <w:p>
      <w:pPr>
        <w:ind w:left="11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See “Item 4. Information on the Company—B. Business Overview—Data and Technology” and “—Intellectual Property.”</w:t>
      </w:r>
    </w:p>
    <w:p>
      <w:pPr>
        <w:spacing w:after="0" w:line="332" w:lineRule="exact"/>
        <w:rPr>
          <w:rFonts w:ascii="Times New Roman" w:cs="Times New Roman" w:eastAsia="Times New Roman" w:hAnsi="Times New Roman"/>
          <w:sz w:val="16"/>
          <w:szCs w:val="16"/>
          <w:b w:val="1"/>
          <w:bCs w:val="1"/>
          <w:color w:val="auto"/>
        </w:rPr>
      </w:pPr>
    </w:p>
    <w:p>
      <w:pPr>
        <w:ind w:left="1100" w:hanging="393"/>
        <w:spacing w:after="0"/>
        <w:tabs>
          <w:tab w:leader="none" w:pos="1100"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Trend Information</w:t>
      </w:r>
    </w:p>
    <w:p>
      <w:pPr>
        <w:spacing w:after="0" w:line="107" w:lineRule="exact"/>
        <w:rPr>
          <w:sz w:val="20"/>
          <w:szCs w:val="20"/>
          <w:color w:val="auto"/>
        </w:rPr>
      </w:pPr>
    </w:p>
    <w:p>
      <w:pPr>
        <w:ind w:left="700" w:right="260" w:firstLine="393"/>
        <w:spacing w:after="0" w:line="262" w:lineRule="auto"/>
        <w:rPr>
          <w:sz w:val="20"/>
          <w:szCs w:val="20"/>
          <w:color w:val="auto"/>
        </w:rPr>
      </w:pPr>
      <w:r>
        <w:rPr>
          <w:rFonts w:ascii="Times New Roman" w:cs="Times New Roman" w:eastAsia="Times New Roman" w:hAnsi="Times New Roman"/>
          <w:sz w:val="16"/>
          <w:szCs w:val="16"/>
          <w:color w:val="auto"/>
        </w:rPr>
        <w:t>Other than as disclosed elsewhere in this annual report, we are not aware of any trends, uncertainties, demands, commitments or events for the period from January 1, 2020, to December 31, 2022 that are reasonably likely to have a material effect on our net revenues, income, profitability, liquidity or capital resources, or that would cause the disclosed financial information to be not necessarily indicative of future operating results or financial conditions.</w:t>
      </w:r>
    </w:p>
    <w:p>
      <w:pPr>
        <w:spacing w:after="0" w:line="291" w:lineRule="exact"/>
        <w:rPr>
          <w:sz w:val="20"/>
          <w:szCs w:val="20"/>
          <w:color w:val="auto"/>
        </w:rPr>
      </w:pPr>
    </w:p>
    <w:p>
      <w:pPr>
        <w:ind w:left="1100" w:hanging="393"/>
        <w:spacing w:after="0"/>
        <w:tabs>
          <w:tab w:leader="none" w:pos="1100"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Critical Accounting Estimates</w:t>
      </w:r>
    </w:p>
    <w:p>
      <w:pPr>
        <w:spacing w:after="0" w:line="107"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We prepare our consolidated financial statements in accordance with U.S. GAAP, which requires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w:t>
      </w:r>
    </w:p>
    <w:p>
      <w:pPr>
        <w:spacing w:after="0" w:line="164" w:lineRule="exact"/>
        <w:rPr>
          <w:sz w:val="20"/>
          <w:szCs w:val="20"/>
          <w:color w:val="auto"/>
        </w:rPr>
      </w:pPr>
    </w:p>
    <w:p>
      <w:pPr>
        <w:ind w:left="700" w:right="240" w:firstLine="393"/>
        <w:spacing w:after="0" w:line="262" w:lineRule="auto"/>
        <w:rPr>
          <w:sz w:val="20"/>
          <w:szCs w:val="20"/>
          <w:color w:val="auto"/>
        </w:rPr>
      </w:pPr>
      <w:r>
        <w:rPr>
          <w:rFonts w:ascii="Times New Roman" w:cs="Times New Roman" w:eastAsia="Times New Roman" w:hAnsi="Times New Roman"/>
          <w:sz w:val="16"/>
          <w:szCs w:val="16"/>
          <w:color w:val="auto"/>
        </w:rPr>
        <w:t>We evaluate these estimates on an ongoing basis. 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07" w:lineRule="exact"/>
        <w:rPr>
          <w:sz w:val="20"/>
          <w:szCs w:val="20"/>
          <w:color w:val="auto"/>
        </w:rPr>
      </w:pPr>
    </w:p>
    <w:p>
      <w:pPr>
        <w:ind w:left="700" w:right="60" w:firstLine="393"/>
        <w:spacing w:after="0" w:line="256" w:lineRule="auto"/>
        <w:rPr>
          <w:sz w:val="20"/>
          <w:szCs w:val="20"/>
          <w:color w:val="auto"/>
        </w:rPr>
      </w:pPr>
      <w:r>
        <w:rPr>
          <w:rFonts w:ascii="Times New Roman" w:cs="Times New Roman" w:eastAsia="Times New Roman" w:hAnsi="Times New Roman"/>
          <w:sz w:val="16"/>
          <w:szCs w:val="16"/>
          <w:color w:val="auto"/>
        </w:rPr>
        <w:t>The revenue standard requires us to estimate the amount of variable consideration to which we will be entitled. For revenue recognition, we make estimates using surrender rate and renewal rate based on the historical experience, reasonable and supportable prediction of policy holders’ behavior, current economic conditions and other factors that may affect the realizability of brokerage income. The transaction price includes variable service fees which is estimated using the expected value method and is limited to the amount of variable consideration that is probable not to be reversed in future periods. The Group assesses whether the estimate of variable consideration is constrained. Changes in estimates used in the revenue recognition have a material impact on our financial statements. The estimation of variable consideration of revenue recognition did not change significantly throughout the periods presented and there is no indication that this estimate will change significantly in the near future.</w:t>
      </w:r>
    </w:p>
    <w:p>
      <w:pPr>
        <w:spacing w:after="0" w:line="299"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DIRECTORS, SENIOR MANAGEMENT AND EMPLOYEES</w:t>
      </w:r>
    </w:p>
    <w:p>
      <w:pPr>
        <w:spacing w:after="0" w:line="117" w:lineRule="exact"/>
        <w:rPr>
          <w:sz w:val="20"/>
          <w:szCs w:val="20"/>
          <w:color w:val="auto"/>
        </w:rPr>
      </w:pPr>
    </w:p>
    <w:p>
      <w:pPr>
        <w:ind w:left="1100" w:hanging="393"/>
        <w:spacing w:after="0"/>
        <w:tabs>
          <w:tab w:leader="none" w:pos="1100" w:val="left"/>
        </w:tabs>
        <w:numPr>
          <w:ilvl w:val="0"/>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Directors and Senior Management</w:t>
      </w:r>
    </w:p>
    <w:p>
      <w:pPr>
        <w:spacing w:after="0" w:line="107" w:lineRule="exact"/>
        <w:rPr>
          <w:sz w:val="20"/>
          <w:szCs w:val="20"/>
          <w:color w:val="auto"/>
        </w:rPr>
      </w:pPr>
    </w:p>
    <w:p>
      <w:pPr>
        <w:ind w:left="700" w:right="60" w:firstLine="393"/>
        <w:spacing w:after="0" w:line="284" w:lineRule="auto"/>
        <w:rPr>
          <w:sz w:val="20"/>
          <w:szCs w:val="20"/>
          <w:color w:val="auto"/>
        </w:rPr>
      </w:pPr>
      <w:r>
        <w:rPr>
          <w:rFonts w:ascii="Times New Roman" w:cs="Times New Roman" w:eastAsia="Times New Roman" w:hAnsi="Times New Roman"/>
          <w:sz w:val="16"/>
          <w:szCs w:val="16"/>
          <w:color w:val="auto"/>
        </w:rPr>
        <w:t>The following table sets forth information regarding our directors and executive officers as of the date of this annual report. None of our directors or the directors of our operating entities are officials of the Chinese Communist Party.</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130</w:t>
      </w:r>
    </w:p>
    <w:p>
      <w:pPr>
        <w:sectPr>
          <w:pgSz w:w="11900" w:h="16838" w:orient="portrait"/>
          <w:cols w:equalWidth="0" w:num="1">
            <w:col w:w="10520"/>
          </w:cols>
          <w:pgMar w:left="320" w:top="447" w:right="105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84"/>
        </w:trPr>
        <w:tc>
          <w:tcPr>
            <w:tcW w:w="1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b w:val="1"/>
                <w:bCs w:val="1"/>
                <w:color w:val="0000EE"/>
                <w:w w:val="96"/>
              </w:rPr>
              <w:t>Table of Contents</w:t>
            </w:r>
          </w:p>
        </w:tc>
        <w:tc>
          <w:tcPr>
            <w:tcW w:w="1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80" w:type="dxa"/>
            <w:vAlign w:val="bottom"/>
          </w:tcPr>
          <w:p>
            <w:pPr>
              <w:spacing w:after="0"/>
              <w:rPr>
                <w:sz w:val="16"/>
                <w:szCs w:val="16"/>
                <w:color w:val="auto"/>
              </w:rPr>
            </w:pPr>
          </w:p>
        </w:tc>
      </w:tr>
      <w:tr>
        <w:trPr>
          <w:trHeight w:val="494"/>
        </w:trPr>
        <w:tc>
          <w:tcPr>
            <w:tcW w:w="700" w:type="dxa"/>
            <w:vAlign w:val="bottom"/>
          </w:tcPr>
          <w:p>
            <w:pPr>
              <w:spacing w:after="0"/>
              <w:rPr>
                <w:sz w:val="24"/>
                <w:szCs w:val="24"/>
                <w:color w:val="auto"/>
              </w:rPr>
            </w:pPr>
          </w:p>
        </w:tc>
        <w:tc>
          <w:tcPr>
            <w:tcW w:w="2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Directors and Executive Officers</w:t>
            </w:r>
          </w:p>
        </w:tc>
        <w:tc>
          <w:tcPr>
            <w:tcW w:w="64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Position/Title</w:t>
            </w:r>
          </w:p>
        </w:tc>
      </w:tr>
      <w:tr>
        <w:trPr>
          <w:trHeight w:val="160"/>
        </w:trPr>
        <w:tc>
          <w:tcPr>
            <w:tcW w:w="700" w:type="dxa"/>
            <w:vAlign w:val="bottom"/>
          </w:tcPr>
          <w:p>
            <w:pPr>
              <w:spacing w:after="0"/>
              <w:rPr>
                <w:sz w:val="13"/>
                <w:szCs w:val="13"/>
                <w:color w:val="auto"/>
              </w:rPr>
            </w:pPr>
          </w:p>
        </w:tc>
        <w:tc>
          <w:tcPr>
            <w:tcW w:w="224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Cunjun Ma</w:t>
            </w:r>
          </w:p>
        </w:tc>
        <w:tc>
          <w:tcPr>
            <w:tcW w:w="640" w:type="dxa"/>
            <w:vAlign w:val="bottom"/>
          </w:tcPr>
          <w:p>
            <w:pPr>
              <w:spacing w:after="0"/>
              <w:rPr>
                <w:sz w:val="13"/>
                <w:szCs w:val="13"/>
                <w:color w:val="auto"/>
              </w:rPr>
            </w:pPr>
          </w:p>
        </w:tc>
        <w:tc>
          <w:tcPr>
            <w:tcW w:w="28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51</w:t>
            </w:r>
          </w:p>
        </w:tc>
        <w:tc>
          <w:tcPr>
            <w:tcW w:w="200" w:type="dxa"/>
            <w:vAlign w:val="bottom"/>
          </w:tcPr>
          <w:p>
            <w:pPr>
              <w:spacing w:after="0"/>
              <w:rPr>
                <w:sz w:val="13"/>
                <w:szCs w:val="13"/>
                <w:color w:val="auto"/>
              </w:rPr>
            </w:pPr>
          </w:p>
        </w:tc>
        <w:tc>
          <w:tcPr>
            <w:tcW w:w="648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6"/>
                <w:szCs w:val="16"/>
                <w:color w:val="auto"/>
              </w:rPr>
              <w:t>Chairman of the Board of Directors and Chief Executive Officer</w:t>
            </w:r>
          </w:p>
        </w:tc>
      </w:tr>
      <w:tr>
        <w:trPr>
          <w:trHeight w:val="193"/>
        </w:trPr>
        <w:tc>
          <w:tcPr>
            <w:tcW w:w="700" w:type="dxa"/>
            <w:vAlign w:val="bottom"/>
          </w:tcPr>
          <w:p>
            <w:pPr>
              <w:spacing w:after="0"/>
              <w:rPr>
                <w:sz w:val="16"/>
                <w:szCs w:val="16"/>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Xuchun Luo</w:t>
            </w:r>
          </w:p>
        </w:tc>
        <w:tc>
          <w:tcPr>
            <w:tcW w:w="920" w:type="dxa"/>
            <w:vAlign w:val="bottom"/>
            <w:gridSpan w:val="2"/>
          </w:tcPr>
          <w:p>
            <w:pPr>
              <w:jc w:val="center"/>
              <w:ind w:left="560"/>
              <w:spacing w:after="0"/>
              <w:rPr>
                <w:sz w:val="20"/>
                <w:szCs w:val="20"/>
                <w:color w:val="auto"/>
              </w:rPr>
            </w:pPr>
            <w:r>
              <w:rPr>
                <w:rFonts w:ascii="Times New Roman" w:cs="Times New Roman" w:eastAsia="Times New Roman" w:hAnsi="Times New Roman"/>
                <w:sz w:val="16"/>
                <w:szCs w:val="16"/>
                <w:color w:val="auto"/>
                <w:w w:val="99"/>
              </w:rPr>
              <w:t>53</w:t>
            </w: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Director and Secretary of the Board of Directors</w:t>
            </w:r>
          </w:p>
        </w:tc>
      </w:tr>
      <w:tr>
        <w:trPr>
          <w:trHeight w:val="193"/>
        </w:trPr>
        <w:tc>
          <w:tcPr>
            <w:tcW w:w="700" w:type="dxa"/>
            <w:vAlign w:val="bottom"/>
          </w:tcPr>
          <w:p>
            <w:pPr>
              <w:spacing w:after="0"/>
              <w:rPr>
                <w:sz w:val="16"/>
                <w:szCs w:val="16"/>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Bin Wei</w:t>
            </w:r>
          </w:p>
        </w:tc>
        <w:tc>
          <w:tcPr>
            <w:tcW w:w="920" w:type="dxa"/>
            <w:vAlign w:val="bottom"/>
            <w:gridSpan w:val="2"/>
          </w:tcPr>
          <w:p>
            <w:pPr>
              <w:jc w:val="center"/>
              <w:ind w:left="560"/>
              <w:spacing w:after="0"/>
              <w:rPr>
                <w:sz w:val="20"/>
                <w:szCs w:val="20"/>
                <w:color w:val="auto"/>
              </w:rPr>
            </w:pPr>
            <w:r>
              <w:rPr>
                <w:rFonts w:ascii="Times New Roman" w:cs="Times New Roman" w:eastAsia="Times New Roman" w:hAnsi="Times New Roman"/>
                <w:sz w:val="16"/>
                <w:szCs w:val="16"/>
                <w:color w:val="auto"/>
                <w:w w:val="99"/>
              </w:rPr>
              <w:t>53</w:t>
            </w: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3"/>
        </w:trPr>
        <w:tc>
          <w:tcPr>
            <w:tcW w:w="700" w:type="dxa"/>
            <w:vAlign w:val="bottom"/>
          </w:tcPr>
          <w:p>
            <w:pPr>
              <w:spacing w:after="0"/>
              <w:rPr>
                <w:sz w:val="16"/>
                <w:szCs w:val="16"/>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Jun Ge</w:t>
            </w:r>
          </w:p>
        </w:tc>
        <w:tc>
          <w:tcPr>
            <w:tcW w:w="920" w:type="dxa"/>
            <w:vAlign w:val="bottom"/>
            <w:gridSpan w:val="2"/>
          </w:tcPr>
          <w:p>
            <w:pPr>
              <w:jc w:val="center"/>
              <w:ind w:left="560"/>
              <w:spacing w:after="0"/>
              <w:rPr>
                <w:sz w:val="20"/>
                <w:szCs w:val="20"/>
                <w:color w:val="auto"/>
              </w:rPr>
            </w:pPr>
            <w:r>
              <w:rPr>
                <w:rFonts w:ascii="Times New Roman" w:cs="Times New Roman" w:eastAsia="Times New Roman" w:hAnsi="Times New Roman"/>
                <w:sz w:val="16"/>
                <w:szCs w:val="16"/>
                <w:color w:val="auto"/>
                <w:w w:val="99"/>
              </w:rPr>
              <w:t>50</w:t>
            </w: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3"/>
        </w:trPr>
        <w:tc>
          <w:tcPr>
            <w:tcW w:w="700" w:type="dxa"/>
            <w:vAlign w:val="bottom"/>
          </w:tcPr>
          <w:p>
            <w:pPr>
              <w:spacing w:after="0"/>
              <w:rPr>
                <w:sz w:val="16"/>
                <w:szCs w:val="16"/>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Aaron Xiaolei Hou</w:t>
            </w:r>
          </w:p>
        </w:tc>
        <w:tc>
          <w:tcPr>
            <w:tcW w:w="920" w:type="dxa"/>
            <w:vAlign w:val="bottom"/>
            <w:gridSpan w:val="2"/>
          </w:tcPr>
          <w:p>
            <w:pPr>
              <w:jc w:val="center"/>
              <w:ind w:left="560"/>
              <w:spacing w:after="0"/>
              <w:rPr>
                <w:sz w:val="20"/>
                <w:szCs w:val="20"/>
                <w:color w:val="auto"/>
              </w:rPr>
            </w:pPr>
            <w:r>
              <w:rPr>
                <w:rFonts w:ascii="Times New Roman" w:cs="Times New Roman" w:eastAsia="Times New Roman" w:hAnsi="Times New Roman"/>
                <w:sz w:val="16"/>
                <w:szCs w:val="16"/>
                <w:color w:val="auto"/>
                <w:w w:val="99"/>
              </w:rPr>
              <w:t>49</w:t>
            </w: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3"/>
        </w:trPr>
        <w:tc>
          <w:tcPr>
            <w:tcW w:w="700" w:type="dxa"/>
            <w:vAlign w:val="bottom"/>
          </w:tcPr>
          <w:p>
            <w:pPr>
              <w:spacing w:after="0"/>
              <w:rPr>
                <w:sz w:val="16"/>
                <w:szCs w:val="16"/>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 Jiang</w:t>
            </w:r>
          </w:p>
        </w:tc>
        <w:tc>
          <w:tcPr>
            <w:tcW w:w="920" w:type="dxa"/>
            <w:vAlign w:val="bottom"/>
            <w:gridSpan w:val="2"/>
          </w:tcPr>
          <w:p>
            <w:pPr>
              <w:jc w:val="center"/>
              <w:ind w:left="560"/>
              <w:spacing w:after="0"/>
              <w:rPr>
                <w:sz w:val="20"/>
                <w:szCs w:val="20"/>
                <w:color w:val="auto"/>
              </w:rPr>
            </w:pPr>
            <w:r>
              <w:rPr>
                <w:rFonts w:ascii="Times New Roman" w:cs="Times New Roman" w:eastAsia="Times New Roman" w:hAnsi="Times New Roman"/>
                <w:sz w:val="16"/>
                <w:szCs w:val="16"/>
                <w:color w:val="auto"/>
                <w:w w:val="99"/>
              </w:rPr>
              <w:t>52</w:t>
            </w: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Chief Operating Officer</w:t>
            </w:r>
          </w:p>
        </w:tc>
      </w:tr>
      <w:tr>
        <w:trPr>
          <w:trHeight w:val="193"/>
        </w:trPr>
        <w:tc>
          <w:tcPr>
            <w:tcW w:w="700" w:type="dxa"/>
            <w:vAlign w:val="bottom"/>
          </w:tcPr>
          <w:p>
            <w:pPr>
              <w:spacing w:after="0"/>
              <w:rPr>
                <w:sz w:val="16"/>
                <w:szCs w:val="16"/>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Ronald Tam</w:t>
            </w:r>
          </w:p>
        </w:tc>
        <w:tc>
          <w:tcPr>
            <w:tcW w:w="920" w:type="dxa"/>
            <w:vAlign w:val="bottom"/>
            <w:gridSpan w:val="2"/>
          </w:tcPr>
          <w:p>
            <w:pPr>
              <w:jc w:val="center"/>
              <w:ind w:left="560"/>
              <w:spacing w:after="0"/>
              <w:rPr>
                <w:sz w:val="20"/>
                <w:szCs w:val="20"/>
                <w:color w:val="auto"/>
              </w:rPr>
            </w:pPr>
            <w:r>
              <w:rPr>
                <w:rFonts w:ascii="Times New Roman" w:cs="Times New Roman" w:eastAsia="Times New Roman" w:hAnsi="Times New Roman"/>
                <w:sz w:val="16"/>
                <w:szCs w:val="16"/>
                <w:color w:val="auto"/>
                <w:w w:val="99"/>
              </w:rPr>
              <w:t>41</w:t>
            </w: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Co-Chief Financial Officer</w:t>
            </w:r>
          </w:p>
        </w:tc>
      </w:tr>
      <w:tr>
        <w:trPr>
          <w:trHeight w:val="209"/>
        </w:trPr>
        <w:tc>
          <w:tcPr>
            <w:tcW w:w="7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Minghan Xiao</w:t>
            </w:r>
          </w:p>
        </w:tc>
        <w:tc>
          <w:tcPr>
            <w:tcW w:w="920" w:type="dxa"/>
            <w:vAlign w:val="bottom"/>
            <w:gridSpan w:val="2"/>
          </w:tcPr>
          <w:p>
            <w:pPr>
              <w:jc w:val="center"/>
              <w:ind w:left="560"/>
              <w:spacing w:after="0"/>
              <w:rPr>
                <w:sz w:val="20"/>
                <w:szCs w:val="20"/>
                <w:color w:val="auto"/>
              </w:rPr>
            </w:pPr>
            <w:r>
              <w:rPr>
                <w:rFonts w:ascii="Times New Roman" w:cs="Times New Roman" w:eastAsia="Times New Roman" w:hAnsi="Times New Roman"/>
                <w:sz w:val="16"/>
                <w:szCs w:val="16"/>
                <w:color w:val="auto"/>
                <w:w w:val="99"/>
              </w:rPr>
              <w:t>49</w:t>
            </w: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Co-Chief Financial Officer</w:t>
            </w:r>
          </w:p>
        </w:tc>
      </w:tr>
    </w:tbl>
    <w:p>
      <w:pPr>
        <w:spacing w:after="0" w:line="1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7565" cy="50800"/>
                    </a:xfrm>
                    <a:prstGeom prst="rect">
                      <a:avLst/>
                    </a:prstGeom>
                    <a:noFill/>
                  </pic:spPr>
                </pic:pic>
              </a:graphicData>
            </a:graphic>
          </wp:anchor>
        </w:drawing>
      </w:r>
    </w:p>
    <w:p>
      <w:pPr>
        <w:ind w:left="700" w:right="40" w:firstLine="393"/>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Mr. Cunjun Ma </w:t>
      </w:r>
      <w:r>
        <w:rPr>
          <w:rFonts w:ascii="Times New Roman" w:cs="Times New Roman" w:eastAsia="Times New Roman" w:hAnsi="Times New Roman"/>
          <w:sz w:val="16"/>
          <w:szCs w:val="16"/>
          <w:color w:val="auto"/>
        </w:rPr>
        <w:t>is our founder and has been chairman of our board of directors and our chief executive officer since our inception. Mr. Cunjun Ma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has over 24 years of insurance related experience, and holds exceptional insurance expertise and insights that have considerably contributed to our fast growth and unique corporate culture. He founded Shenzhen Huize Internet Insurance Agent Co., Ltd. in 2006 and worked as its general manager until June 2011. Prior to that, he worked as the head of a subsidiary of Hua An Property Insurance Co., Ltd. for two years. Prior to that, Mr. Ma worked in Shenzhen branch of Ping An Property Insurance Co., Ltd. from August 1995 to February 2004. Mr. Ma obtained an MBA degree from Nankai University.</w:t>
      </w:r>
    </w:p>
    <w:p>
      <w:pPr>
        <w:spacing w:after="0" w:line="163" w:lineRule="exact"/>
        <w:rPr>
          <w:sz w:val="20"/>
          <w:szCs w:val="20"/>
          <w:color w:val="auto"/>
        </w:rPr>
      </w:pPr>
    </w:p>
    <w:p>
      <w:pPr>
        <w:ind w:left="700" w:right="60" w:firstLine="393"/>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Ms. Xuchun Luo </w:t>
      </w:r>
      <w:r>
        <w:rPr>
          <w:rFonts w:ascii="Times New Roman" w:cs="Times New Roman" w:eastAsia="Times New Roman" w:hAnsi="Times New Roman"/>
          <w:sz w:val="16"/>
          <w:szCs w:val="16"/>
          <w:color w:val="auto"/>
        </w:rPr>
        <w:t>has served as our secretary of the board of directors since our inception. Ms. Luo has over 14 years of insurance related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experience, and 19 years of accounting and financing related experience. Before joining our company, Ms. Luo worked as a department manager in Shenzhen Huize Internet Insurance Agent Co., Ltd. from March 2007 to November 2011. Ms. Luo also worked in Hua An Property Insurance Co., Ltd. for two years. Prior to that, Ms. Luo worked as an accountant in Industrial and Commercial Bank of China for 15 years, and as a department manager in an industrial company for two years. Ms. Luo obtained a Specialist’s degree in Financial Accounting from Jiangxi Radio and Television University in 2001, and a Bachelor’s degree in Law from The Open University of China in 2009.</w:t>
      </w:r>
    </w:p>
    <w:p>
      <w:pPr>
        <w:spacing w:after="0" w:line="163"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Mr. Bin Wei </w:t>
      </w:r>
      <w:r>
        <w:rPr>
          <w:rFonts w:ascii="Times New Roman" w:cs="Times New Roman" w:eastAsia="Times New Roman" w:hAnsi="Times New Roman"/>
          <w:sz w:val="16"/>
          <w:szCs w:val="16"/>
          <w:color w:val="auto"/>
        </w:rPr>
        <w:t>has served as our independent director since February 2020. Mr. Wei has over 26 years of accounting and finance related experience.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Mr. Wei has served as an asset management partner of CDH Investments Management (Hong Kong) Limited since April 2019. Prior to that, he served as a partner at Hillhouse Capital Group from April 2018 to March 2019. Prior to that, Mr. Wei worked in China Resources (Holdings) Co., Ltd. for 16 years from 2001 to 2017 in his capacities as director of finance, chief accountant and chief financial officer. From 1996 to 2001, Mr. Wei worked as the head of the accounting department in Nanguang (Group) Co., Ltd. Prior to that, Mr. Wei worked in the Audit Office of the Ministry of Foreign Trade and Economic Cooperation as a civil servant from 1992 to 1996. Mr. Wei serves as directors of various companies listed on Hong Kong Stock Exchange, including Hao Tian International Construction Investment Group Limited (HKSE: 1341), Honghua Group Limited (HKSE: 00196) and OCI International Holdings Limited (HKSE: 0329). Mr. Wei has become qualified as a Chinese CPA since 1993, a Senior Auditor in China since 2003 and a Senior Accountant in China since 2003. Mr. Wei obtained his bachelor’s degree in Auditing from Zhongnan University of Finance and Economics in 1992, and his master’s degree in Finance from Jinan University in 2001.</w:t>
      </w:r>
    </w:p>
    <w:p>
      <w:pPr>
        <w:spacing w:after="0" w:line="166"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Mr. Jun Ge </w:t>
      </w:r>
      <w:r>
        <w:rPr>
          <w:rFonts w:ascii="Times New Roman" w:cs="Times New Roman" w:eastAsia="Times New Roman" w:hAnsi="Times New Roman"/>
          <w:sz w:val="16"/>
          <w:szCs w:val="16"/>
          <w:color w:val="auto"/>
        </w:rPr>
        <w:t>has served as our independent director since February 2020. Mr. Ge had previously served as the assistant engineer of Shanghai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Research institute of Building Research; administrative manager, deputy director of the corporation and public affairs department, director of the President office, secretary general of the foundation and Assistant president of the China Europe International Business School; President of the Pudong Innovation Institute; and associate dean of the Shanghai Institute of Advanced Finance at Shanghai Jiaotong University. Mr. Ge is currently an Executive director of the National Innovation and Development Strategy Research Association. Mr. Ge has been an independent non-executive director of China Mengniu Dairy Co., Ltd. (HKEX, stock code: 2319) since December 2021, and an independent director of Shenzhen Aisidi Co., Ltd.(Shenzhen Stock Exchange, stock code: 002416) since October 2022. Mr. Ge was an independent director of Focus Media Information Technology Co., Ltd. (Shenzhen Stock Exchange, stock code: 002027) from February 2019 to November 2021. Mr. Ge was also an independent director of Meinian Onehealth Healthcare Holdings Co., Ltd. (Shenzhen Stock Exchange, stock code: 002044) from October 2018 to October 2021. Mr. Ge’s areas of academic expertise include corporate governance, corporate stakeholder relations, evaluation of innovation mechanism, responsible business and sustainable development.</w:t>
      </w:r>
    </w:p>
    <w:p>
      <w:pPr>
        <w:spacing w:after="0" w:line="359" w:lineRule="exact"/>
        <w:rPr>
          <w:sz w:val="20"/>
          <w:szCs w:val="20"/>
          <w:color w:val="auto"/>
        </w:rPr>
      </w:pPr>
    </w:p>
    <w:p>
      <w:pPr>
        <w:ind w:left="700" w:right="100" w:firstLine="393"/>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Mr. Aaron Xiaolei Hou </w:t>
      </w:r>
      <w:r>
        <w:rPr>
          <w:rFonts w:ascii="Times New Roman" w:cs="Times New Roman" w:eastAsia="Times New Roman" w:hAnsi="Times New Roman"/>
          <w:sz w:val="16"/>
          <w:szCs w:val="16"/>
          <w:color w:val="auto"/>
        </w:rPr>
        <w:t>has served as our independent director since February 2021. He has nearly 20 years of risk management and capital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markets experience. He founded China Springs Capital Co., Ltd. in October 2016, and currently serves as its Chief Executive Officer and Chief Investment Officer. Prior to that, he worked as the Chief Risk Officer of CITIC Securities from 2011 to 2013, and an executive director in the market risk management division at the global headquarter of Goldman Sachs Group in New York from 2007 to 2013. Mr. Hou received his MBA degree in Finance and Accounting from the University of Rochester in 2000, and Masters of Science in Quantitative Methods and Modeling from CUNY Baruch College in 2003.</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131</w:t>
      </w:r>
    </w:p>
    <w:p>
      <w:pPr>
        <w:sectPr>
          <w:pgSz w:w="11900" w:h="16838" w:orient="portrait"/>
          <w:cols w:equalWidth="0" w:num="1">
            <w:col w:w="10540"/>
          </w:cols>
          <w:pgMar w:left="320" w:top="437" w:right="10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firstLine="393"/>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Mr. Li Jiang </w:t>
      </w:r>
      <w:r>
        <w:rPr>
          <w:rFonts w:ascii="Times New Roman" w:cs="Times New Roman" w:eastAsia="Times New Roman" w:hAnsi="Times New Roman"/>
          <w:sz w:val="16"/>
          <w:szCs w:val="16"/>
          <w:color w:val="auto"/>
        </w:rPr>
        <w:t>has served as our chief operating officer since 2015. Mr. Jiang has been working in the insurance industry since 2003. Prior to joining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company, Mr. Jiang worked as senior manager in Starr Insurance (China) from 2009 to 2015. Prior to that, Mr. Jiang worked as senior manager in AIG Insurance from 2003 to 2009. Before entering the insurance industry, Mr. Jiang worked as marketing manager for AirChina from 1993 to 2003. Mr. Jiang obtained his Master’s degree in Marketing from Hong Kong University in 2013.</w:t>
      </w:r>
    </w:p>
    <w:p>
      <w:pPr>
        <w:spacing w:after="0" w:line="158" w:lineRule="exact"/>
        <w:rPr>
          <w:sz w:val="20"/>
          <w:szCs w:val="20"/>
          <w:color w:val="auto"/>
        </w:rPr>
      </w:pPr>
    </w:p>
    <w:p>
      <w:pPr>
        <w:ind w:left="700" w:right="240" w:firstLine="393"/>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Mr. Ronald Tam </w:t>
      </w:r>
      <w:r>
        <w:rPr>
          <w:rFonts w:ascii="Times New Roman" w:cs="Times New Roman" w:eastAsia="Times New Roman" w:hAnsi="Times New Roman"/>
          <w:sz w:val="16"/>
          <w:szCs w:val="16"/>
          <w:color w:val="auto"/>
        </w:rPr>
        <w:t>has served as our co-chief financial officer since August 2020. Prior to that, Mr. Tam served as our chief strategy officer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April 2020 to July 2020. Mr. Tam has over 15 years of experience in driving and executing corporate strategy, strategic investments, mergers and acquisitions and capital markets transactions. Prior to joining our company, Mr. Tam served as the chief financial officer of Chong Sing Holdings FinTech Group Limited, a Hong Kong-listed fintech group, from 2016 to 2019, and Vice President of Corporate Finance from 2014 to 2016. Prior to that, Mr. Tam was an executive director and head of general industries investment banking for Greater China at Daiwa Capital Markets Hong Kong Limited from 2011 to 2013. Mr. Tam was a director at Crosby Capital Partners with a focus on private equity and special situations investments from 2010 to 2011. Mr. Tam commenced his career in investment banking at Goldman Sachs (Asia) L.L.C. in Hong Kong from 2002 to 2008 in its Equity Capital Markets and Corporate Finance groups, and advised corporate clients and financial sponsors on equity, equity-linked and M&amp;A transactions across industries in Asia. Mr. Tam graduated magna cum laude with a Bachelor of Arts degree in Economics and Computer Science from Yale University in 2002, and is currently a Finance EMBA candidate at Tsinghua PBC School of Finance.</w:t>
      </w:r>
    </w:p>
    <w:p>
      <w:pPr>
        <w:spacing w:after="0" w:line="166" w:lineRule="exact"/>
        <w:rPr>
          <w:sz w:val="20"/>
          <w:szCs w:val="20"/>
          <w:color w:val="auto"/>
        </w:rPr>
      </w:pPr>
    </w:p>
    <w:p>
      <w:pPr>
        <w:ind w:left="700" w:right="140" w:firstLine="393"/>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Mr. Minghan Xiao </w:t>
      </w:r>
      <w:r>
        <w:rPr>
          <w:rFonts w:ascii="Times New Roman" w:cs="Times New Roman" w:eastAsia="Times New Roman" w:hAnsi="Times New Roman"/>
          <w:sz w:val="16"/>
          <w:szCs w:val="16"/>
          <w:color w:val="auto"/>
        </w:rPr>
        <w:t>has served as our co-chief financial officer since November 2016. Prior to joining our company, Mr. Xiao worked in 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capacity as chief financial officer, senior accountant or secretary of board of directors in several companies from October 2007 to May 2016. Mr. Xiao worked in his capacity as assistant manager for Klynveld Peat Marwick Goerdeler from November 2006 to August 2007, and as senior accountant for Deloitte Touche Tohmatsu Limited from December 2004 to October 2006. Prior to that, Mr. Xiao worked for five years in a PRC accounting firm.</w:t>
      </w:r>
    </w:p>
    <w:p>
      <w:pPr>
        <w:spacing w:after="0" w:line="1" w:lineRule="exact"/>
        <w:rPr>
          <w:sz w:val="20"/>
          <w:szCs w:val="20"/>
          <w:color w:val="auto"/>
        </w:rPr>
      </w:pPr>
    </w:p>
    <w:p>
      <w:pPr>
        <w:ind w:left="700"/>
        <w:spacing w:after="0" w:line="263" w:lineRule="auto"/>
        <w:rPr>
          <w:sz w:val="20"/>
          <w:szCs w:val="20"/>
          <w:color w:val="auto"/>
        </w:rPr>
      </w:pPr>
      <w:r>
        <w:rPr>
          <w:rFonts w:ascii="Times New Roman" w:cs="Times New Roman" w:eastAsia="Times New Roman" w:hAnsi="Times New Roman"/>
          <w:sz w:val="16"/>
          <w:szCs w:val="16"/>
          <w:color w:val="auto"/>
        </w:rPr>
        <w:t>Mr. Xiao obtained his Bachelor’s degree in Logic from the Department of Philosophy, Peking University in 1995, and his Master’s degree in Logic from the Department of Philosophy, Sun Yat-sen University in 1998.</w:t>
      </w:r>
    </w:p>
    <w:p>
      <w:pPr>
        <w:spacing w:after="0" w:line="289" w:lineRule="exact"/>
        <w:rPr>
          <w:sz w:val="20"/>
          <w:szCs w:val="20"/>
          <w:color w:val="auto"/>
        </w:rPr>
      </w:pPr>
    </w:p>
    <w:p>
      <w:pPr>
        <w:ind w:left="1100" w:hanging="393"/>
        <w:spacing w:after="0"/>
        <w:tabs>
          <w:tab w:leader="none" w:pos="1100" w:val="left"/>
        </w:tabs>
        <w:numPr>
          <w:ilvl w:val="0"/>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Compensation</w:t>
      </w:r>
    </w:p>
    <w:p>
      <w:pPr>
        <w:spacing w:after="0" w:line="107" w:lineRule="exact"/>
        <w:rPr>
          <w:sz w:val="20"/>
          <w:szCs w:val="20"/>
          <w:color w:val="auto"/>
        </w:rPr>
      </w:pPr>
    </w:p>
    <w:p>
      <w:pPr>
        <w:ind w:left="700" w:right="20" w:firstLine="393"/>
        <w:spacing w:after="0" w:line="259" w:lineRule="auto"/>
        <w:rPr>
          <w:sz w:val="20"/>
          <w:szCs w:val="20"/>
          <w:color w:val="auto"/>
        </w:rPr>
      </w:pPr>
      <w:r>
        <w:rPr>
          <w:rFonts w:ascii="Times New Roman" w:cs="Times New Roman" w:eastAsia="Times New Roman" w:hAnsi="Times New Roman"/>
          <w:sz w:val="16"/>
          <w:szCs w:val="16"/>
          <w:color w:val="auto"/>
        </w:rPr>
        <w:t>For the fiscal year ended December 31, 2022, we paid an aggregate of RMB11.4 million (US$1.7 million) in cash to our executive officers, and paid RMB1.4 million (US$0.2 million) to our non-executive directors. We have not set aside or accrued any amount to provide pension, retirement or other similar benefits to our directors and executive officers. Our WFOE, the VIE and its subsidiaries are required by law to make contributions equal to certain percentages of each employee’s salary for his or her pension insurance, medical insurance, unemployment insurance and other statutory benefits and a housing provident fund.</w:t>
      </w:r>
    </w:p>
    <w:p>
      <w:pPr>
        <w:spacing w:after="0" w:line="2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w:t>
      </w:r>
    </w:p>
    <w:p>
      <w:pPr>
        <w:spacing w:after="0" w:line="107" w:lineRule="exact"/>
        <w:rPr>
          <w:sz w:val="20"/>
          <w:szCs w:val="20"/>
          <w:color w:val="auto"/>
        </w:rPr>
      </w:pPr>
    </w:p>
    <w:p>
      <w:pPr>
        <w:ind w:left="700" w:right="80" w:firstLine="393"/>
        <w:spacing w:after="0" w:line="256" w:lineRule="auto"/>
        <w:rPr>
          <w:sz w:val="20"/>
          <w:szCs w:val="20"/>
          <w:color w:val="auto"/>
        </w:rPr>
      </w:pPr>
      <w:r>
        <w:rPr>
          <w:rFonts w:ascii="Times New Roman" w:cs="Times New Roman" w:eastAsia="Times New Roman" w:hAnsi="Times New Roman"/>
          <w:sz w:val="16"/>
          <w:szCs w:val="16"/>
          <w:color w:val="auto"/>
        </w:rPr>
        <w:t>We have entered into employment agreements with each of our executive officers. Under these agreements, each of our executive officers is employed for a specified time period. We may terminate employment for cause, at any time, for certain acts of the executive officer, such as continued failure to satisfactorily perform, willful misconduct or gross negligence in the performance of agreed duties, conviction or entry of a guilty or nolo contendere plea of any felony or any misdemeanor involving moral turpitude, or dishonest act that results in material to our detriment or material of the employment agreement. We may also terminate an executive officer’s employment without cause upon 60-day advance written notice. In such case of termination by us, we will provide severance payments to the executive officer as may be agreed between the executive officer and us. The executive officer may resign at any time with a 60-day advance written notice.</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132</w:t>
      </w:r>
    </w:p>
    <w:p>
      <w:pPr>
        <w:sectPr>
          <w:pgSz w:w="11900" w:h="16838" w:orient="portrait"/>
          <w:cols w:equalWidth="0" w:num="1">
            <w:col w:w="10520"/>
          </w:cols>
          <w:pgMar w:left="320" w:top="447" w:right="10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69" w:lineRule="exact"/>
        <w:rPr>
          <w:sz w:val="20"/>
          <w:szCs w:val="20"/>
          <w:color w:val="auto"/>
        </w:rPr>
      </w:pPr>
    </w:p>
    <w:p>
      <w:pPr>
        <w:ind w:left="700" w:right="140" w:firstLine="393"/>
        <w:spacing w:after="0" w:line="258" w:lineRule="auto"/>
        <w:rPr>
          <w:sz w:val="20"/>
          <w:szCs w:val="20"/>
          <w:color w:val="auto"/>
        </w:rPr>
      </w:pPr>
      <w:r>
        <w:rPr>
          <w:rFonts w:ascii="Times New Roman" w:cs="Times New Roman" w:eastAsia="Times New Roman" w:hAnsi="Times New Roman"/>
          <w:sz w:val="16"/>
          <w:szCs w:val="16"/>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solicit from any client doing business with us during the effective term of the employment agreement business of the same or of a similar nature to our business;</w:t>
      </w:r>
    </w:p>
    <w:p>
      <w:pPr>
        <w:spacing w:after="0" w:line="1" w:lineRule="exact"/>
        <w:rPr>
          <w:sz w:val="20"/>
          <w:szCs w:val="20"/>
          <w:color w:val="auto"/>
        </w:rPr>
      </w:pPr>
    </w:p>
    <w:p>
      <w:pPr>
        <w:ind w:left="700" w:right="20" w:firstLine="7"/>
        <w:spacing w:after="0" w:line="255" w:lineRule="auto"/>
        <w:tabs>
          <w:tab w:leader="none" w:pos="936"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 from any of our known potential client business of the same or of a similar nature to that which has been the subject of our known written or oral bid, offer or proposal, or of substantial preparation with a view to making such a bid, proposal or offer; (iii) solicit the employment or services of, or hire or engage, any person who is known to be employed or engaged by us; or (iv) otherwise interfere with our business or accounts, including but not limited to with respect to any relationship or agreement between any vendor or supplier and us.</w:t>
      </w:r>
    </w:p>
    <w:p>
      <w:pPr>
        <w:spacing w:after="0" w:line="166" w:lineRule="exact"/>
        <w:rPr>
          <w:sz w:val="20"/>
          <w:szCs w:val="20"/>
          <w:color w:val="auto"/>
        </w:rPr>
      </w:pPr>
    </w:p>
    <w:p>
      <w:pPr>
        <w:jc w:val="both"/>
        <w:ind w:left="700" w:right="360" w:firstLine="393"/>
        <w:spacing w:after="0" w:line="267" w:lineRule="auto"/>
        <w:rPr>
          <w:sz w:val="20"/>
          <w:szCs w:val="20"/>
          <w:color w:val="auto"/>
        </w:rPr>
      </w:pPr>
      <w:r>
        <w:rPr>
          <w:rFonts w:ascii="Times New Roman" w:cs="Times New Roman" w:eastAsia="Times New Roman" w:hAnsi="Times New Roman"/>
          <w:sz w:val="16"/>
          <w:szCs w:val="16"/>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Share Incentive Plans</w:t>
      </w:r>
    </w:p>
    <w:p>
      <w:pPr>
        <w:spacing w:after="0" w:line="1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Global Share Incentive Plan</w:t>
      </w:r>
    </w:p>
    <w:p>
      <w:pPr>
        <w:spacing w:after="0" w:line="109" w:lineRule="exact"/>
        <w:rPr>
          <w:sz w:val="20"/>
          <w:szCs w:val="20"/>
          <w:color w:val="auto"/>
        </w:rPr>
      </w:pPr>
    </w:p>
    <w:p>
      <w:pPr>
        <w:jc w:val="both"/>
        <w:ind w:left="700" w:right="120" w:firstLine="393"/>
        <w:spacing w:after="0" w:line="267" w:lineRule="auto"/>
        <w:rPr>
          <w:sz w:val="20"/>
          <w:szCs w:val="20"/>
          <w:color w:val="auto"/>
        </w:rPr>
      </w:pPr>
      <w:r>
        <w:rPr>
          <w:rFonts w:ascii="Times New Roman" w:cs="Times New Roman" w:eastAsia="Times New Roman" w:hAnsi="Times New Roman"/>
          <w:sz w:val="16"/>
          <w:szCs w:val="16"/>
          <w:color w:val="auto"/>
        </w:rPr>
        <w:t>On June 30, 2019, our shareholders and board of directors approved the Global Share Incentive Plan, which we refer to as the Global Plan in this annual report, to attract and retain the best available personnel, provide additional incentives to employees, directors and consultants, and promote the success of our business. The maximum aggregate number of common shares that may be issued under Global Plan is 57,501,813 common shares.</w:t>
      </w:r>
    </w:p>
    <w:p>
      <w:pPr>
        <w:spacing w:after="0" w:line="15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following paragraphs summarize the principal terms of the Global Plan.</w:t>
      </w:r>
    </w:p>
    <w:p>
      <w:pPr>
        <w:spacing w:after="0" w:line="20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 xml:space="preserve">Type of Awards. </w:t>
      </w:r>
      <w:r>
        <w:rPr>
          <w:rFonts w:ascii="Times New Roman" w:cs="Times New Roman" w:eastAsia="Times New Roman" w:hAnsi="Times New Roman"/>
          <w:sz w:val="16"/>
          <w:szCs w:val="16"/>
          <w:color w:val="auto"/>
        </w:rPr>
        <w:t>The Global Plan permits the awards of options, restricted share units and other types of share incentive awards.</w:t>
      </w:r>
    </w:p>
    <w:p>
      <w:pPr>
        <w:spacing w:after="0" w:line="202" w:lineRule="exact"/>
        <w:rPr>
          <w:sz w:val="20"/>
          <w:szCs w:val="20"/>
          <w:color w:val="auto"/>
        </w:rPr>
      </w:pPr>
    </w:p>
    <w:p>
      <w:pPr>
        <w:jc w:val="both"/>
        <w:ind w:left="700" w:right="420" w:firstLine="393"/>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Plan Administration. </w:t>
      </w:r>
      <w:r>
        <w:rPr>
          <w:rFonts w:ascii="Times New Roman" w:cs="Times New Roman" w:eastAsia="Times New Roman" w:hAnsi="Times New Roman"/>
          <w:sz w:val="16"/>
          <w:szCs w:val="16"/>
          <w:color w:val="auto"/>
        </w:rPr>
        <w:t>Our board of directors or a committee of one or more members of the board will administer the Global Plan. The plan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administrator will determine the participants to receive awards, the type and number of awards to be granted to each participant, and the terms and conditions of each grant.</w:t>
      </w:r>
    </w:p>
    <w:p>
      <w:pPr>
        <w:spacing w:after="0" w:line="153" w:lineRule="exact"/>
        <w:rPr>
          <w:sz w:val="20"/>
          <w:szCs w:val="20"/>
          <w:color w:val="auto"/>
        </w:rPr>
      </w:pPr>
    </w:p>
    <w:p>
      <w:pPr>
        <w:jc w:val="both"/>
        <w:ind w:left="700" w:firstLine="393"/>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Award Agreement. </w:t>
      </w:r>
      <w:r>
        <w:rPr>
          <w:rFonts w:ascii="Times New Roman" w:cs="Times New Roman" w:eastAsia="Times New Roman" w:hAnsi="Times New Roman"/>
          <w:sz w:val="16"/>
          <w:szCs w:val="16"/>
          <w:color w:val="auto"/>
        </w:rPr>
        <w:t>Awards granted under the Global Plan are evidenced by an award agreement that sets forth the terms, conditions and limitations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each award, which may include the term of the award, the provisions applicable in the event that the grantee’s employment or service terminates, and our authority to unilaterally or bilaterally amend, modify, suspend, cancel or rescind the award.</w:t>
      </w:r>
    </w:p>
    <w:p>
      <w:pPr>
        <w:spacing w:after="0" w:line="15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 xml:space="preserve">Eligibility. </w:t>
      </w:r>
      <w:r>
        <w:rPr>
          <w:rFonts w:ascii="Times New Roman" w:cs="Times New Roman" w:eastAsia="Times New Roman" w:hAnsi="Times New Roman"/>
          <w:sz w:val="16"/>
          <w:szCs w:val="16"/>
          <w:color w:val="auto"/>
        </w:rPr>
        <w:t>We may grant awards to our directors, employees, consultants and members.</w:t>
      </w:r>
    </w:p>
    <w:p>
      <w:pPr>
        <w:spacing w:after="0" w:line="20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 xml:space="preserve">Vesting Schedule. </w:t>
      </w:r>
      <w:r>
        <w:rPr>
          <w:rFonts w:ascii="Times New Roman" w:cs="Times New Roman" w:eastAsia="Times New Roman" w:hAnsi="Times New Roman"/>
          <w:sz w:val="16"/>
          <w:szCs w:val="16"/>
          <w:color w:val="auto"/>
        </w:rPr>
        <w:t>In general, the plan administrator determines the vesting schedule, which is specified in the relevant award agreement.</w:t>
      </w:r>
    </w:p>
    <w:p>
      <w:pPr>
        <w:spacing w:after="0" w:line="202" w:lineRule="exact"/>
        <w:rPr>
          <w:sz w:val="20"/>
          <w:szCs w:val="20"/>
          <w:color w:val="auto"/>
        </w:rPr>
      </w:pPr>
    </w:p>
    <w:p>
      <w:pPr>
        <w:ind w:left="700" w:firstLine="393"/>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Exercise of Options. </w:t>
      </w:r>
      <w:r>
        <w:rPr>
          <w:rFonts w:ascii="Times New Roman" w:cs="Times New Roman" w:eastAsia="Times New Roman" w:hAnsi="Times New Roman"/>
          <w:sz w:val="16"/>
          <w:szCs w:val="16"/>
          <w:color w:val="auto"/>
        </w:rPr>
        <w:t>The plan administrator determines the exercise price for each award, which is stated in the relevant award agreement. Options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are vested and exercisable will terminate if they are not exercised prior to the time as the plan administrator determines at the time of grant. However, the maximum exercisable term is ten years from the date of effectiveness of the Global Plan.</w:t>
      </w:r>
    </w:p>
    <w:p>
      <w:pPr>
        <w:spacing w:after="0" w:line="153" w:lineRule="exact"/>
        <w:rPr>
          <w:sz w:val="20"/>
          <w:szCs w:val="20"/>
          <w:color w:val="auto"/>
        </w:rPr>
      </w:pPr>
    </w:p>
    <w:p>
      <w:pPr>
        <w:ind w:left="700" w:right="140" w:firstLine="393"/>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Transfer Restrictions. </w:t>
      </w:r>
      <w:r>
        <w:rPr>
          <w:rFonts w:ascii="Times New Roman" w:cs="Times New Roman" w:eastAsia="Times New Roman" w:hAnsi="Times New Roman"/>
          <w:sz w:val="16"/>
          <w:szCs w:val="16"/>
          <w:color w:val="auto"/>
        </w:rPr>
        <w:t>Awards may not be transferred in any manner by the participant other than in accordance with the exceptions provided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Global Plan or the relevant award agreement or otherwise determined by the plan administrator, such as transfers by will or the laws of descent and distribution.</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133</w:t>
      </w:r>
    </w:p>
    <w:p>
      <w:pPr>
        <w:sectPr>
          <w:pgSz w:w="11900" w:h="16838" w:orient="portrait"/>
          <w:cols w:equalWidth="0" w:num="1">
            <w:col w:w="10540"/>
          </w:cols>
          <w:pgMar w:left="320" w:top="447" w:right="10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right="40" w:firstLine="393"/>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Termination and Amendment of the Global Plan. </w:t>
      </w:r>
      <w:r>
        <w:rPr>
          <w:rFonts w:ascii="Times New Roman" w:cs="Times New Roman" w:eastAsia="Times New Roman" w:hAnsi="Times New Roman"/>
          <w:sz w:val="16"/>
          <w:szCs w:val="16"/>
          <w:color w:val="auto"/>
        </w:rPr>
        <w:t>The administrator has the authority to terminate, amend, suspend or modify the Global Plan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accordance with our articles of association. However, no such action may adversely affect in any material way any award previously granted pursuant to the Global Plan.</w:t>
      </w:r>
    </w:p>
    <w:p>
      <w:pPr>
        <w:spacing w:after="0" w:line="2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Amended and Restated 2019 Share Incentive Plan</w:t>
      </w:r>
    </w:p>
    <w:p>
      <w:pPr>
        <w:spacing w:after="0" w:line="109" w:lineRule="exact"/>
        <w:rPr>
          <w:sz w:val="20"/>
          <w:szCs w:val="20"/>
          <w:color w:val="auto"/>
        </w:rPr>
      </w:pPr>
    </w:p>
    <w:p>
      <w:pPr>
        <w:ind w:left="700" w:right="200" w:firstLine="393"/>
        <w:spacing w:after="0" w:line="259" w:lineRule="auto"/>
        <w:rPr>
          <w:sz w:val="20"/>
          <w:szCs w:val="20"/>
          <w:color w:val="auto"/>
        </w:rPr>
      </w:pPr>
      <w:r>
        <w:rPr>
          <w:rFonts w:ascii="Times New Roman" w:cs="Times New Roman" w:eastAsia="Times New Roman" w:hAnsi="Times New Roman"/>
          <w:sz w:val="16"/>
          <w:szCs w:val="16"/>
          <w:color w:val="auto"/>
        </w:rPr>
        <w:t>On June 30, 2019, our shareholders and board of directors approved the 2019 Plan to attract and retain the best available personnel, provide additional incentives to employees, directors and consultants, and promote the success of our business. The maximum aggregate number of common shares that may be issued under 2019 Plan was 20,351,945 common shares. On September 8, 2021, our board of directors approved the Amended and Restated 2019 Share Incentive Plan thereby, increasing the maximum aggregate number of common shares that may be issued under such plan to 51,703,365 Class A common shares.</w:t>
      </w:r>
    </w:p>
    <w:p>
      <w:pPr>
        <w:spacing w:after="0" w:line="16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following paragraphs summarize the principal terms of the Amended and Restated 2019 Plan.</w:t>
      </w:r>
    </w:p>
    <w:p>
      <w:pPr>
        <w:spacing w:after="0" w:line="200" w:lineRule="exact"/>
        <w:rPr>
          <w:sz w:val="20"/>
          <w:szCs w:val="20"/>
          <w:color w:val="auto"/>
        </w:rPr>
      </w:pPr>
    </w:p>
    <w:p>
      <w:pPr>
        <w:ind w:left="700" w:right="80" w:firstLine="393"/>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Type of Awards. </w:t>
      </w:r>
      <w:r>
        <w:rPr>
          <w:rFonts w:ascii="Times New Roman" w:cs="Times New Roman" w:eastAsia="Times New Roman" w:hAnsi="Times New Roman"/>
          <w:sz w:val="16"/>
          <w:szCs w:val="16"/>
          <w:color w:val="auto"/>
        </w:rPr>
        <w:t>The Amended and Restated 2019 Plan permits the awards of options, restricted shares, restricted share under other types of share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incentive awards.</w:t>
      </w:r>
    </w:p>
    <w:p>
      <w:pPr>
        <w:spacing w:after="0" w:line="140" w:lineRule="exact"/>
        <w:rPr>
          <w:sz w:val="20"/>
          <w:szCs w:val="20"/>
          <w:color w:val="auto"/>
        </w:rPr>
      </w:pPr>
    </w:p>
    <w:p>
      <w:pPr>
        <w:ind w:left="700" w:right="40" w:firstLine="393"/>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Plan Administration. </w:t>
      </w:r>
      <w:r>
        <w:rPr>
          <w:rFonts w:ascii="Times New Roman" w:cs="Times New Roman" w:eastAsia="Times New Roman" w:hAnsi="Times New Roman"/>
          <w:sz w:val="16"/>
          <w:szCs w:val="16"/>
          <w:color w:val="auto"/>
        </w:rPr>
        <w:t>Our board of directors or a committee of one or more members of the board will administer the Amended and Restated 2019</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Plan. The committee will determine the participants to receive awards, the type and number of awards to be granted to each participant, and the terms and conditions of each grant.</w:t>
      </w:r>
    </w:p>
    <w:p>
      <w:pPr>
        <w:spacing w:after="0" w:line="153" w:lineRule="exact"/>
        <w:rPr>
          <w:sz w:val="20"/>
          <w:szCs w:val="20"/>
          <w:color w:val="auto"/>
        </w:rPr>
      </w:pPr>
    </w:p>
    <w:p>
      <w:pPr>
        <w:ind w:left="700" w:right="300" w:firstLine="393"/>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Award Agreement. </w:t>
      </w:r>
      <w:r>
        <w:rPr>
          <w:rFonts w:ascii="Times New Roman" w:cs="Times New Roman" w:eastAsia="Times New Roman" w:hAnsi="Times New Roman"/>
          <w:sz w:val="16"/>
          <w:szCs w:val="16"/>
          <w:color w:val="auto"/>
        </w:rPr>
        <w:t>Awards granted under the Amended and Restated 2019 Plan are evidenced by an award agreement that sets forth the terms,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conditions and limitations for each award, which may include the term of the award, the provisions applicable in the event that the grantee’s employment or service terminates, and our authority to unilaterally or bilaterally amend, modify, suspend, cancel or rescind the award.</w:t>
      </w:r>
    </w:p>
    <w:p>
      <w:pPr>
        <w:spacing w:after="0" w:line="15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 xml:space="preserve">Eligibility. </w:t>
      </w:r>
      <w:r>
        <w:rPr>
          <w:rFonts w:ascii="Times New Roman" w:cs="Times New Roman" w:eastAsia="Times New Roman" w:hAnsi="Times New Roman"/>
          <w:sz w:val="16"/>
          <w:szCs w:val="16"/>
          <w:color w:val="auto"/>
        </w:rPr>
        <w:t>We may grant awards to our directors, employees, consultants and members.</w:t>
      </w:r>
    </w:p>
    <w:p>
      <w:pPr>
        <w:spacing w:after="0" w:line="20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 xml:space="preserve">Vesting Schedule. </w:t>
      </w:r>
      <w:r>
        <w:rPr>
          <w:rFonts w:ascii="Times New Roman" w:cs="Times New Roman" w:eastAsia="Times New Roman" w:hAnsi="Times New Roman"/>
          <w:sz w:val="16"/>
          <w:szCs w:val="16"/>
          <w:color w:val="auto"/>
        </w:rPr>
        <w:t>In general, the plan administrator determines the vesting schedule, which is specified in the relevant award agreement.</w:t>
      </w:r>
    </w:p>
    <w:p>
      <w:pPr>
        <w:spacing w:after="0" w:line="202" w:lineRule="exact"/>
        <w:rPr>
          <w:sz w:val="20"/>
          <w:szCs w:val="20"/>
          <w:color w:val="auto"/>
        </w:rPr>
      </w:pPr>
    </w:p>
    <w:p>
      <w:pPr>
        <w:ind w:left="700" w:firstLine="393"/>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Exercise of Options. </w:t>
      </w:r>
      <w:r>
        <w:rPr>
          <w:rFonts w:ascii="Times New Roman" w:cs="Times New Roman" w:eastAsia="Times New Roman" w:hAnsi="Times New Roman"/>
          <w:sz w:val="16"/>
          <w:szCs w:val="16"/>
          <w:color w:val="auto"/>
        </w:rPr>
        <w:t>The plan administrator determines the exercise price for each award, which is stated in the relevant award agreement. Options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are vested and exercisable will terminate if they are not exercised prior to the time as the plan administrator determines at the time of grant. However, the maximum exercisable term is ten years from the date of effectiveness of the Amended and Restated 2019 Plan.</w:t>
      </w:r>
    </w:p>
    <w:p>
      <w:pPr>
        <w:spacing w:after="0" w:line="153" w:lineRule="exact"/>
        <w:rPr>
          <w:sz w:val="20"/>
          <w:szCs w:val="20"/>
          <w:color w:val="auto"/>
        </w:rPr>
      </w:pPr>
    </w:p>
    <w:p>
      <w:pPr>
        <w:ind w:left="700" w:right="20" w:firstLine="393"/>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Transfer Restrictions. </w:t>
      </w:r>
      <w:r>
        <w:rPr>
          <w:rFonts w:ascii="Times New Roman" w:cs="Times New Roman" w:eastAsia="Times New Roman" w:hAnsi="Times New Roman"/>
          <w:sz w:val="16"/>
          <w:szCs w:val="16"/>
          <w:color w:val="auto"/>
        </w:rPr>
        <w:t>Awards may not be transferred in any manner by the participant other than in accordance with the exceptions provided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Amended and Restated 2019 Plan or the relevant award agreement or otherwise determined by the plan administrator, such as transfers by will or the laws of descent and distribution.</w:t>
      </w:r>
    </w:p>
    <w:p>
      <w:pPr>
        <w:spacing w:after="0" w:line="153" w:lineRule="exact"/>
        <w:rPr>
          <w:sz w:val="20"/>
          <w:szCs w:val="20"/>
          <w:color w:val="auto"/>
        </w:rPr>
      </w:pPr>
    </w:p>
    <w:p>
      <w:pPr>
        <w:ind w:left="700" w:right="40" w:firstLine="393"/>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Termination and Amendment of the Amended and Restated 2019 Plan. </w:t>
      </w:r>
      <w:r>
        <w:rPr>
          <w:rFonts w:ascii="Times New Roman" w:cs="Times New Roman" w:eastAsia="Times New Roman" w:hAnsi="Times New Roman"/>
          <w:sz w:val="16"/>
          <w:szCs w:val="16"/>
          <w:color w:val="auto"/>
        </w:rPr>
        <w:t>At any time and from time to time, the board may terminate, amend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modify the plan;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(a) to the extent necessary and desirable to comply with applicable laws or stock exchange rules, the Company shall obtain shareholder approval of any plan amendment in such a manner and to such a degree as required, unless the Company decides to follow home country practice, and (b) unless the Company decides to follow home country practice, shareholder approval is required for any amendment to the plan that (i) increases the number of shares available under the plan, or (ii) permits the committee to extend the term of the plan or the exercise period for an option beyond ten years from the date of grant.</w:t>
      </w:r>
    </w:p>
    <w:p>
      <w:pPr>
        <w:spacing w:after="0" w:line="165" w:lineRule="exact"/>
        <w:rPr>
          <w:sz w:val="20"/>
          <w:szCs w:val="20"/>
          <w:color w:val="auto"/>
        </w:rPr>
      </w:pPr>
    </w:p>
    <w:p>
      <w:pPr>
        <w:ind w:left="700" w:right="60" w:firstLine="393"/>
        <w:spacing w:after="0" w:line="284" w:lineRule="auto"/>
        <w:rPr>
          <w:sz w:val="20"/>
          <w:szCs w:val="20"/>
          <w:color w:val="auto"/>
        </w:rPr>
      </w:pPr>
      <w:r>
        <w:rPr>
          <w:rFonts w:ascii="Times New Roman" w:cs="Times New Roman" w:eastAsia="Times New Roman" w:hAnsi="Times New Roman"/>
          <w:sz w:val="16"/>
          <w:szCs w:val="16"/>
          <w:color w:val="auto"/>
        </w:rPr>
        <w:t>The following table summarizes, as of February 28, 2023, the number of common shares underlying outstanding options and restricted shares that we granted to our directors and executive officers under the Global Plan and the Amended and Restated 2019 Plan.</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134</w:t>
      </w:r>
    </w:p>
    <w:p>
      <w:pPr>
        <w:sectPr>
          <w:pgSz w:w="11900" w:h="16838" w:orient="portrait"/>
          <w:cols w:equalWidth="0" w:num="1">
            <w:col w:w="10540"/>
          </w:cols>
          <w:pgMar w:left="320" w:top="447" w:right="10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53"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Common Shares</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82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31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b w:val="1"/>
                <w:bCs w:val="1"/>
                <w:color w:val="auto"/>
                <w:w w:val="99"/>
              </w:rPr>
              <w:t>Options and Restricted</w:t>
            </w:r>
          </w:p>
        </w:tc>
        <w:tc>
          <w:tcPr>
            <w:tcW w:w="82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4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Date of Grant</w:t>
            </w: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Date of Expiration</w:t>
            </w:r>
          </w:p>
        </w:tc>
        <w:tc>
          <w:tcPr>
            <w:tcW w:w="0" w:type="dxa"/>
            <w:vAlign w:val="bottom"/>
          </w:tcPr>
          <w:p>
            <w:pPr>
              <w:spacing w:after="0"/>
              <w:rPr>
                <w:sz w:val="1"/>
                <w:szCs w:val="1"/>
                <w:color w:val="auto"/>
              </w:rPr>
            </w:pPr>
          </w:p>
        </w:tc>
      </w:tr>
      <w:tr>
        <w:trPr>
          <w:trHeight w:val="157"/>
        </w:trPr>
        <w:tc>
          <w:tcPr>
            <w:tcW w:w="3200" w:type="dxa"/>
            <w:vAlign w:val="bottom"/>
            <w:gridSpan w:val="2"/>
            <w:vMerge w:val="continue"/>
          </w:tcPr>
          <w:p>
            <w:pPr>
              <w:spacing w:after="0"/>
              <w:rPr>
                <w:sz w:val="13"/>
                <w:szCs w:val="13"/>
                <w:color w:val="auto"/>
              </w:rPr>
            </w:pP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u w:val="single" w:color="auto"/>
                <w:color w:val="auto"/>
                <w:w w:val="97"/>
              </w:rPr>
              <w:t>(US$</w:t>
            </w:r>
            <w:r>
              <w:rPr>
                <w:rFonts w:ascii="Times New Roman" w:cs="Times New Roman" w:eastAsia="Times New Roman" w:hAnsi="Times New Roman"/>
                <w:sz w:val="13"/>
                <w:szCs w:val="13"/>
                <w:b w:val="1"/>
                <w:bCs w:val="1"/>
                <w:color w:val="auto"/>
                <w:w w:val="97"/>
              </w:rPr>
              <w:t>/Share)</w:t>
            </w:r>
          </w:p>
        </w:tc>
        <w:tc>
          <w:tcPr>
            <w:tcW w:w="140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0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Cunjun Ma</w:t>
            </w:r>
          </w:p>
        </w:tc>
        <w:tc>
          <w:tcPr>
            <w:tcW w:w="100" w:type="dxa"/>
            <w:vAlign w:val="bottom"/>
            <w:tcBorders>
              <w:top w:val="single" w:sz="8" w:color="CCEEFF"/>
            </w:tcBorders>
            <w:shd w:val="clear" w:color="auto" w:fill="CCEEFF"/>
          </w:tcPr>
          <w:p>
            <w:pPr>
              <w:spacing w:after="0"/>
              <w:rPr>
                <w:sz w:val="14"/>
                <w:szCs w:val="14"/>
                <w:color w:val="auto"/>
              </w:rPr>
            </w:pPr>
          </w:p>
        </w:tc>
        <w:tc>
          <w:tcPr>
            <w:tcW w:w="300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Options: 7,556,701</w:t>
            </w: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0.1607</w:t>
            </w:r>
          </w:p>
        </w:tc>
        <w:tc>
          <w:tcPr>
            <w:tcW w:w="14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June 30, 2019</w:t>
            </w:r>
          </w:p>
        </w:tc>
        <w:tc>
          <w:tcPr>
            <w:tcW w:w="14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Restricted Shares: 14,229,183</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June 30, 2019</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June 30, 2029</w:t>
            </w:r>
          </w:p>
        </w:tc>
        <w:tc>
          <w:tcPr>
            <w:tcW w:w="0" w:type="dxa"/>
            <w:vAlign w:val="bottom"/>
          </w:tcPr>
          <w:p>
            <w:pPr>
              <w:spacing w:after="0"/>
              <w:rPr>
                <w:sz w:val="1"/>
                <w:szCs w:val="1"/>
                <w:color w:val="auto"/>
              </w:rPr>
            </w:pPr>
          </w:p>
        </w:tc>
      </w:tr>
      <w:tr>
        <w:trPr>
          <w:trHeight w:val="221"/>
        </w:trPr>
        <w:tc>
          <w:tcPr>
            <w:tcW w:w="3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Options: 3,911,945</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0.1490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September 8, 2021</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September 8, 2031</w:t>
            </w:r>
          </w:p>
        </w:tc>
        <w:tc>
          <w:tcPr>
            <w:tcW w:w="0" w:type="dxa"/>
            <w:vAlign w:val="bottom"/>
          </w:tcPr>
          <w:p>
            <w:pPr>
              <w:spacing w:after="0"/>
              <w:rPr>
                <w:sz w:val="1"/>
                <w:szCs w:val="1"/>
                <w:color w:val="auto"/>
              </w:rPr>
            </w:pPr>
          </w:p>
        </w:tc>
      </w:tr>
      <w:tr>
        <w:trPr>
          <w:trHeight w:val="176"/>
        </w:trPr>
        <w:tc>
          <w:tcPr>
            <w:tcW w:w="3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Xuchun Luo</w:t>
            </w:r>
          </w:p>
        </w:tc>
        <w:tc>
          <w:tcPr>
            <w:tcW w:w="31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6"/>
                <w:szCs w:val="16"/>
                <w:color w:val="auto"/>
              </w:rPr>
              <w:t>Options: 802,803</w:t>
            </w:r>
          </w:p>
        </w:tc>
        <w:tc>
          <w:tcPr>
            <w:tcW w:w="82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6"/>
                <w:szCs w:val="16"/>
                <w:color w:val="auto"/>
              </w:rPr>
              <w:t>0.1607</w:t>
            </w:r>
          </w:p>
        </w:tc>
        <w:tc>
          <w:tcPr>
            <w:tcW w:w="140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6"/>
                <w:szCs w:val="16"/>
                <w:color w:val="auto"/>
              </w:rPr>
              <w:t>June 30, 2019</w:t>
            </w: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Restricted Shares: 3,114,150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June 30, 2019</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June 30, 2029</w:t>
            </w:r>
          </w:p>
        </w:tc>
        <w:tc>
          <w:tcPr>
            <w:tcW w:w="0" w:type="dxa"/>
            <w:vAlign w:val="bottom"/>
          </w:tcPr>
          <w:p>
            <w:pPr>
              <w:spacing w:after="0"/>
              <w:rPr>
                <w:sz w:val="1"/>
                <w:szCs w:val="1"/>
                <w:color w:val="auto"/>
              </w:rPr>
            </w:pPr>
          </w:p>
        </w:tc>
      </w:tr>
      <w:tr>
        <w:trPr>
          <w:trHeight w:val="215"/>
        </w:trPr>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Options: 1,600,000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0.1490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September 8, 2021</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September 8, 2031</w:t>
            </w:r>
          </w:p>
        </w:tc>
        <w:tc>
          <w:tcPr>
            <w:tcW w:w="0" w:type="dxa"/>
            <w:vAlign w:val="bottom"/>
          </w:tcPr>
          <w:p>
            <w:pPr>
              <w:spacing w:after="0"/>
              <w:rPr>
                <w:sz w:val="1"/>
                <w:szCs w:val="1"/>
                <w:color w:val="auto"/>
              </w:rPr>
            </w:pPr>
          </w:p>
        </w:tc>
      </w:tr>
      <w:tr>
        <w:trPr>
          <w:trHeight w:val="182"/>
        </w:trPr>
        <w:tc>
          <w:tcPr>
            <w:tcW w:w="32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Li Jiang</w:t>
            </w:r>
          </w:p>
        </w:tc>
        <w:tc>
          <w:tcPr>
            <w:tcW w:w="3100" w:type="dxa"/>
            <w:vAlign w:val="bottom"/>
            <w:gridSpan w:val="2"/>
            <w:shd w:val="clear" w:color="auto" w:fill="CCEEFF"/>
          </w:tcPr>
          <w:p>
            <w:pPr>
              <w:jc w:val="right"/>
              <w:ind w:right="100"/>
              <w:spacing w:after="0" w:line="182" w:lineRule="exact"/>
              <w:rPr>
                <w:sz w:val="20"/>
                <w:szCs w:val="20"/>
                <w:color w:val="auto"/>
              </w:rPr>
            </w:pPr>
            <w:r>
              <w:rPr>
                <w:rFonts w:ascii="Times New Roman" w:cs="Times New Roman" w:eastAsia="Times New Roman" w:hAnsi="Times New Roman"/>
                <w:sz w:val="16"/>
                <w:szCs w:val="16"/>
                <w:color w:val="auto"/>
              </w:rPr>
              <w:t>Options: *</w:t>
            </w:r>
          </w:p>
        </w:tc>
        <w:tc>
          <w:tcPr>
            <w:tcW w:w="820" w:type="dxa"/>
            <w:vAlign w:val="bottom"/>
            <w:gridSpan w:val="2"/>
            <w:shd w:val="clear" w:color="auto" w:fill="CCEEFF"/>
          </w:tcPr>
          <w:p>
            <w:pPr>
              <w:jc w:val="right"/>
              <w:ind w:right="140"/>
              <w:spacing w:after="0" w:line="182" w:lineRule="exact"/>
              <w:rPr>
                <w:sz w:val="20"/>
                <w:szCs w:val="20"/>
                <w:color w:val="auto"/>
              </w:rPr>
            </w:pPr>
            <w:r>
              <w:rPr>
                <w:rFonts w:ascii="Times New Roman" w:cs="Times New Roman" w:eastAsia="Times New Roman" w:hAnsi="Times New Roman"/>
                <w:sz w:val="16"/>
                <w:szCs w:val="16"/>
                <w:color w:val="auto"/>
              </w:rPr>
              <w:t>0.1607</w:t>
            </w:r>
          </w:p>
        </w:tc>
        <w:tc>
          <w:tcPr>
            <w:tcW w:w="1400" w:type="dxa"/>
            <w:vAlign w:val="bottom"/>
            <w:gridSpan w:val="2"/>
            <w:shd w:val="clear" w:color="auto" w:fill="CCEEFF"/>
          </w:tcPr>
          <w:p>
            <w:pPr>
              <w:jc w:val="right"/>
              <w:ind w:right="140"/>
              <w:spacing w:after="0" w:line="182" w:lineRule="exact"/>
              <w:rPr>
                <w:sz w:val="20"/>
                <w:szCs w:val="20"/>
                <w:color w:val="auto"/>
              </w:rPr>
            </w:pPr>
            <w:r>
              <w:rPr>
                <w:rFonts w:ascii="Times New Roman" w:cs="Times New Roman" w:eastAsia="Times New Roman" w:hAnsi="Times New Roman"/>
                <w:sz w:val="16"/>
                <w:szCs w:val="16"/>
                <w:color w:val="auto"/>
              </w:rPr>
              <w:t>June 30, 2019</w:t>
            </w:r>
          </w:p>
        </w:tc>
        <w:tc>
          <w:tcPr>
            <w:tcW w:w="1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Restricted Shares: *</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June 30, 2019</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June 30, 2029</w:t>
            </w:r>
          </w:p>
        </w:tc>
        <w:tc>
          <w:tcPr>
            <w:tcW w:w="0" w:type="dxa"/>
            <w:vAlign w:val="bottom"/>
          </w:tcPr>
          <w:p>
            <w:pPr>
              <w:spacing w:after="0"/>
              <w:rPr>
                <w:sz w:val="1"/>
                <w:szCs w:val="1"/>
                <w:color w:val="auto"/>
              </w:rPr>
            </w:pPr>
          </w:p>
        </w:tc>
      </w:tr>
      <w:tr>
        <w:trPr>
          <w:trHeight w:val="176"/>
        </w:trPr>
        <w:tc>
          <w:tcPr>
            <w:tcW w:w="3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Ronald Tam</w:t>
            </w:r>
          </w:p>
        </w:tc>
        <w:tc>
          <w:tcPr>
            <w:tcW w:w="31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6"/>
                <w:szCs w:val="16"/>
                <w:color w:val="auto"/>
              </w:rPr>
              <w:t>Options: *</w:t>
            </w:r>
          </w:p>
        </w:tc>
        <w:tc>
          <w:tcPr>
            <w:tcW w:w="82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6"/>
                <w:szCs w:val="16"/>
                <w:color w:val="auto"/>
              </w:rPr>
              <w:t>0.3500</w:t>
            </w:r>
          </w:p>
        </w:tc>
        <w:tc>
          <w:tcPr>
            <w:tcW w:w="140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6"/>
                <w:szCs w:val="16"/>
                <w:color w:val="auto"/>
              </w:rPr>
              <w:t>March 9, 2021</w:t>
            </w:r>
          </w:p>
        </w:tc>
        <w:tc>
          <w:tcPr>
            <w:tcW w:w="13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6"/>
                <w:szCs w:val="16"/>
                <w:color w:val="auto"/>
              </w:rPr>
              <w:t>June 30, 2029</w:t>
            </w:r>
          </w:p>
        </w:tc>
        <w:tc>
          <w:tcPr>
            <w:tcW w:w="0" w:type="dxa"/>
            <w:vAlign w:val="bottom"/>
          </w:tcPr>
          <w:p>
            <w:pPr>
              <w:spacing w:after="0"/>
              <w:rPr>
                <w:sz w:val="1"/>
                <w:szCs w:val="1"/>
                <w:color w:val="auto"/>
              </w:rPr>
            </w:pPr>
          </w:p>
        </w:tc>
      </w:tr>
      <w:tr>
        <w:trPr>
          <w:trHeight w:val="215"/>
        </w:trPr>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Restricted Shares: *</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March 9, 2021</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June 30, 2029</w:t>
            </w:r>
          </w:p>
        </w:tc>
        <w:tc>
          <w:tcPr>
            <w:tcW w:w="0" w:type="dxa"/>
            <w:vAlign w:val="bottom"/>
          </w:tcPr>
          <w:p>
            <w:pPr>
              <w:spacing w:after="0"/>
              <w:rPr>
                <w:sz w:val="1"/>
                <w:szCs w:val="1"/>
                <w:color w:val="auto"/>
              </w:rPr>
            </w:pPr>
          </w:p>
        </w:tc>
      </w:tr>
      <w:tr>
        <w:trPr>
          <w:trHeight w:val="182"/>
        </w:trPr>
        <w:tc>
          <w:tcPr>
            <w:tcW w:w="32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Minghan Xiao</w:t>
            </w:r>
          </w:p>
        </w:tc>
        <w:tc>
          <w:tcPr>
            <w:tcW w:w="3100" w:type="dxa"/>
            <w:vAlign w:val="bottom"/>
            <w:gridSpan w:val="2"/>
            <w:shd w:val="clear" w:color="auto" w:fill="CCEEFF"/>
          </w:tcPr>
          <w:p>
            <w:pPr>
              <w:jc w:val="right"/>
              <w:ind w:right="100"/>
              <w:spacing w:after="0" w:line="182" w:lineRule="exact"/>
              <w:rPr>
                <w:sz w:val="20"/>
                <w:szCs w:val="20"/>
                <w:color w:val="auto"/>
              </w:rPr>
            </w:pPr>
            <w:r>
              <w:rPr>
                <w:rFonts w:ascii="Times New Roman" w:cs="Times New Roman" w:eastAsia="Times New Roman" w:hAnsi="Times New Roman"/>
                <w:sz w:val="16"/>
                <w:szCs w:val="16"/>
                <w:color w:val="auto"/>
              </w:rPr>
              <w:t>Options: *</w:t>
            </w:r>
          </w:p>
        </w:tc>
        <w:tc>
          <w:tcPr>
            <w:tcW w:w="820" w:type="dxa"/>
            <w:vAlign w:val="bottom"/>
            <w:gridSpan w:val="2"/>
            <w:shd w:val="clear" w:color="auto" w:fill="CCEEFF"/>
          </w:tcPr>
          <w:p>
            <w:pPr>
              <w:jc w:val="right"/>
              <w:ind w:right="140"/>
              <w:spacing w:after="0" w:line="182" w:lineRule="exact"/>
              <w:rPr>
                <w:sz w:val="20"/>
                <w:szCs w:val="20"/>
                <w:color w:val="auto"/>
              </w:rPr>
            </w:pPr>
            <w:r>
              <w:rPr>
                <w:rFonts w:ascii="Times New Roman" w:cs="Times New Roman" w:eastAsia="Times New Roman" w:hAnsi="Times New Roman"/>
                <w:sz w:val="16"/>
                <w:szCs w:val="16"/>
                <w:color w:val="auto"/>
              </w:rPr>
              <w:t>0.1607</w:t>
            </w:r>
          </w:p>
        </w:tc>
        <w:tc>
          <w:tcPr>
            <w:tcW w:w="1400" w:type="dxa"/>
            <w:vAlign w:val="bottom"/>
            <w:gridSpan w:val="2"/>
            <w:shd w:val="clear" w:color="auto" w:fill="CCEEFF"/>
          </w:tcPr>
          <w:p>
            <w:pPr>
              <w:jc w:val="right"/>
              <w:ind w:right="140"/>
              <w:spacing w:after="0" w:line="182" w:lineRule="exact"/>
              <w:rPr>
                <w:sz w:val="20"/>
                <w:szCs w:val="20"/>
                <w:color w:val="auto"/>
              </w:rPr>
            </w:pPr>
            <w:r>
              <w:rPr>
                <w:rFonts w:ascii="Times New Roman" w:cs="Times New Roman" w:eastAsia="Times New Roman" w:hAnsi="Times New Roman"/>
                <w:sz w:val="16"/>
                <w:szCs w:val="16"/>
                <w:color w:val="auto"/>
              </w:rPr>
              <w:t>June 30, 2019</w:t>
            </w:r>
          </w:p>
        </w:tc>
        <w:tc>
          <w:tcPr>
            <w:tcW w:w="1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Restricted Shares: *</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June 30, 2019</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June 30, 2029</w:t>
            </w:r>
          </w:p>
        </w:tc>
        <w:tc>
          <w:tcPr>
            <w:tcW w:w="0" w:type="dxa"/>
            <w:vAlign w:val="bottom"/>
          </w:tcPr>
          <w:p>
            <w:pPr>
              <w:spacing w:after="0"/>
              <w:rPr>
                <w:sz w:val="1"/>
                <w:szCs w:val="1"/>
                <w:color w:val="auto"/>
              </w:rPr>
            </w:pPr>
          </w:p>
        </w:tc>
      </w:tr>
      <w:tr>
        <w:trPr>
          <w:trHeight w:val="221"/>
        </w:trPr>
        <w:tc>
          <w:tcPr>
            <w:tcW w:w="3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Options: *</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0.1490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September 8, 2021</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September 8, 2031</w:t>
            </w:r>
          </w:p>
        </w:tc>
        <w:tc>
          <w:tcPr>
            <w:tcW w:w="0" w:type="dxa"/>
            <w:vAlign w:val="bottom"/>
          </w:tcPr>
          <w:p>
            <w:pPr>
              <w:spacing w:after="0"/>
              <w:rPr>
                <w:sz w:val="1"/>
                <w:szCs w:val="1"/>
                <w:color w:val="auto"/>
              </w:rPr>
            </w:pPr>
          </w:p>
        </w:tc>
      </w:tr>
      <w:tr>
        <w:trPr>
          <w:trHeight w:val="176"/>
        </w:trPr>
        <w:tc>
          <w:tcPr>
            <w:tcW w:w="3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Other employees</w:t>
            </w:r>
          </w:p>
        </w:tc>
        <w:tc>
          <w:tcPr>
            <w:tcW w:w="31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6"/>
                <w:szCs w:val="16"/>
                <w:color w:val="auto"/>
              </w:rPr>
              <w:t>Options: 4,577,354</w:t>
            </w:r>
          </w:p>
        </w:tc>
        <w:tc>
          <w:tcPr>
            <w:tcW w:w="82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6"/>
                <w:szCs w:val="16"/>
                <w:color w:val="auto"/>
              </w:rPr>
              <w:t>0.1607</w:t>
            </w:r>
          </w:p>
        </w:tc>
        <w:tc>
          <w:tcPr>
            <w:tcW w:w="140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6"/>
                <w:szCs w:val="16"/>
                <w:color w:val="auto"/>
              </w:rPr>
              <w:t>June 30, 2019</w:t>
            </w:r>
          </w:p>
        </w:tc>
        <w:tc>
          <w:tcPr>
            <w:tcW w:w="13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6"/>
                <w:szCs w:val="16"/>
                <w:color w:val="auto"/>
              </w:rPr>
              <w:t>June 30, 2029</w:t>
            </w:r>
          </w:p>
        </w:tc>
        <w:tc>
          <w:tcPr>
            <w:tcW w:w="0" w:type="dxa"/>
            <w:vAlign w:val="bottom"/>
          </w:tcPr>
          <w:p>
            <w:pPr>
              <w:spacing w:after="0"/>
              <w:rPr>
                <w:sz w:val="1"/>
                <w:szCs w:val="1"/>
                <w:color w:val="auto"/>
              </w:rPr>
            </w:pPr>
          </w:p>
        </w:tc>
      </w:tr>
      <w:tr>
        <w:trPr>
          <w:trHeight w:val="193"/>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Restricted Shares: 6,140,718</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August 19, 2019</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August 19, 2029</w:t>
            </w:r>
          </w:p>
        </w:tc>
        <w:tc>
          <w:tcPr>
            <w:tcW w:w="0" w:type="dxa"/>
            <w:vAlign w:val="bottom"/>
          </w:tcPr>
          <w:p>
            <w:pPr>
              <w:spacing w:after="0"/>
              <w:rPr>
                <w:sz w:val="1"/>
                <w:szCs w:val="1"/>
                <w:color w:val="auto"/>
              </w:rPr>
            </w:pPr>
          </w:p>
        </w:tc>
      </w:tr>
      <w:tr>
        <w:trPr>
          <w:trHeight w:val="209"/>
        </w:trPr>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Options: 10,880,000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0.1490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September 8, 2021</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September 8, 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92075</wp:posOffset>
            </wp:positionV>
            <wp:extent cx="68897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8975" cy="7620"/>
                    </a:xfrm>
                    <a:prstGeom prst="rect">
                      <a:avLst/>
                    </a:prstGeom>
                    <a:noFill/>
                  </pic:spPr>
                </pic:pic>
              </a:graphicData>
            </a:graphic>
          </wp:anchor>
        </w:drawing>
      </w:r>
    </w:p>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  Less than 1% of our total outstanding shares.</w:t>
      </w:r>
    </w:p>
    <w:p>
      <w:pPr>
        <w:spacing w:after="0" w:line="202" w:lineRule="exact"/>
        <w:rPr>
          <w:sz w:val="20"/>
          <w:szCs w:val="20"/>
          <w:color w:val="auto"/>
        </w:rPr>
      </w:pPr>
    </w:p>
    <w:p>
      <w:pPr>
        <w:ind w:left="700" w:right="120" w:firstLine="393"/>
        <w:spacing w:after="0" w:line="267" w:lineRule="auto"/>
        <w:rPr>
          <w:sz w:val="20"/>
          <w:szCs w:val="20"/>
          <w:color w:val="auto"/>
        </w:rPr>
      </w:pPr>
      <w:r>
        <w:rPr>
          <w:rFonts w:ascii="Times New Roman" w:cs="Times New Roman" w:eastAsia="Times New Roman" w:hAnsi="Times New Roman"/>
          <w:sz w:val="16"/>
          <w:szCs w:val="16"/>
          <w:color w:val="auto"/>
        </w:rPr>
        <w:t>As of February 28, 2023, our employees, other than our directors and executive officers, held 5,556,815 restricted shares and options to purchase 4,119,952 Class A common shares with exercise price of US$0.1607 per share, under the Global Plan, and options to purchase 9,602,500 Class A common shares, with exercise price of US$0.1490 per share, under the Amended and Restated 2019 Plan.</w:t>
      </w:r>
    </w:p>
    <w:p>
      <w:pPr>
        <w:spacing w:after="0" w:line="288" w:lineRule="exact"/>
        <w:rPr>
          <w:sz w:val="20"/>
          <w:szCs w:val="20"/>
          <w:color w:val="auto"/>
        </w:rPr>
      </w:pPr>
    </w:p>
    <w:p>
      <w:pPr>
        <w:ind w:left="1100" w:hanging="393"/>
        <w:spacing w:after="0"/>
        <w:tabs>
          <w:tab w:leader="none" w:pos="1100"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Board Practices</w:t>
      </w:r>
    </w:p>
    <w:p>
      <w:pPr>
        <w:spacing w:after="0" w:line="107"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Our board of directors consists of five directors. A director is not required to hold any shares in our company by way of qualification. A director who to his knowledge is in any way, whether directly or indirectly, interested in a contract or arrangement or proposed contract or arrangement with our company is required to declare the nature of his interest at a meeting of our directors at which the question of entering into the contract or arrangement is first considered. Subject to any separate requirement for audit committee approval, the Nasdaq Global Market rules and disqualification by the chairman of the relevant board meeting, a director may vote in respect of any contract or arrangement or proposed contract or arrangement notwithstanding that he may be interested therein, and if he does so his vote shall be counted and he shall be counted in the quorum at any meeting of our directors at which any such contract or transaction or proposed contract or transaction is considered. Our directors may exercise all the powers of our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our company or of any third party.</w:t>
      </w: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107" w:lineRule="exact"/>
        <w:rPr>
          <w:sz w:val="20"/>
          <w:szCs w:val="20"/>
          <w:color w:val="auto"/>
        </w:rPr>
      </w:pPr>
    </w:p>
    <w:p>
      <w:pPr>
        <w:ind w:left="700" w:right="180" w:firstLine="393"/>
        <w:spacing w:after="0" w:line="267" w:lineRule="auto"/>
        <w:rPr>
          <w:sz w:val="20"/>
          <w:szCs w:val="20"/>
          <w:color w:val="auto"/>
        </w:rPr>
      </w:pPr>
      <w:r>
        <w:rPr>
          <w:rFonts w:ascii="Times New Roman" w:cs="Times New Roman" w:eastAsia="Times New Roman" w:hAnsi="Times New Roman"/>
          <w:sz w:val="16"/>
          <w:szCs w:val="16"/>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55" w:lineRule="exact"/>
        <w:rPr>
          <w:sz w:val="20"/>
          <w:szCs w:val="20"/>
          <w:color w:val="auto"/>
        </w:rPr>
      </w:pPr>
    </w:p>
    <w:p>
      <w:pPr>
        <w:ind w:left="700" w:right="20" w:firstLine="393"/>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Audit Committee. </w:t>
      </w:r>
      <w:r>
        <w:rPr>
          <w:rFonts w:ascii="Times New Roman" w:cs="Times New Roman" w:eastAsia="Times New Roman" w:hAnsi="Times New Roman"/>
          <w:sz w:val="16"/>
          <w:szCs w:val="16"/>
          <w:color w:val="auto"/>
        </w:rPr>
        <w:t>Our audit committee consists of Bin Wei, Jun Ge and Aaron Xiaolei Hou. Bin Wei is the chairman of our audit committee. We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have determined that each of Bin Wei, Jun Ge and Aaron Xiaolei Hou satisfies the “independence” requirements of Nasdaq Stock Market Rules and Rule 10A-3 under the Exchange Act. We have determined that Bin Wei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78" w:lineRule="exact"/>
        <w:rPr>
          <w:sz w:val="20"/>
          <w:szCs w:val="20"/>
          <w:color w:val="auto"/>
        </w:rPr>
      </w:pPr>
    </w:p>
    <w:p>
      <w:pPr>
        <w:ind w:left="1580" w:right="820" w:hanging="391"/>
        <w:spacing w:after="0" w:line="284" w:lineRule="auto"/>
        <w:tabs>
          <w:tab w:leader="none" w:pos="15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the independent auditors and pre-approving all auditing and non-auditing services permitted to be performed by the independent auditors;</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135</w:t>
      </w:r>
    </w:p>
    <w:p>
      <w:pPr>
        <w:sectPr>
          <w:pgSz w:w="11900" w:h="16838" w:orient="portrait"/>
          <w:cols w:equalWidth="0" w:num="1">
            <w:col w:w="10540"/>
          </w:cols>
          <w:pgMar w:left="320" w:top="447" w:right="10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1580" w:hanging="391"/>
        <w:spacing w:after="0"/>
        <w:tabs>
          <w:tab w:leader="none" w:pos="15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the independent auditors any audit problems or difficulties and management’s response;</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the annual audited financial statements with management and the independent auditors;</w:t>
      </w:r>
    </w:p>
    <w:p>
      <w:pPr>
        <w:spacing w:after="0" w:line="117" w:lineRule="exact"/>
        <w:rPr>
          <w:rFonts w:ascii="Times New Roman" w:cs="Times New Roman" w:eastAsia="Times New Roman" w:hAnsi="Times New Roman"/>
          <w:sz w:val="16"/>
          <w:szCs w:val="16"/>
          <w:color w:val="auto"/>
        </w:rPr>
      </w:pPr>
    </w:p>
    <w:p>
      <w:pPr>
        <w:ind w:left="1580" w:right="240" w:hanging="391"/>
        <w:spacing w:after="0" w:line="284" w:lineRule="auto"/>
        <w:tabs>
          <w:tab w:leader="none" w:pos="15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adequacy and effectiveness of our accounting and internal control policies and procedures and any steps taken to monitor and control major financial risk exposures;</w:t>
      </w:r>
    </w:p>
    <w:p>
      <w:pPr>
        <w:spacing w:after="0" w:line="58"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all proposed related party transactions;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 separately and periodically with management and the independent auditors; and</w:t>
      </w:r>
    </w:p>
    <w:p>
      <w:pPr>
        <w:spacing w:after="0" w:line="117" w:lineRule="exact"/>
        <w:rPr>
          <w:rFonts w:ascii="Times New Roman" w:cs="Times New Roman" w:eastAsia="Times New Roman" w:hAnsi="Times New Roman"/>
          <w:sz w:val="16"/>
          <w:szCs w:val="16"/>
          <w:color w:val="auto"/>
        </w:rPr>
      </w:pPr>
    </w:p>
    <w:p>
      <w:pPr>
        <w:ind w:left="1580" w:right="700" w:hanging="391"/>
        <w:spacing w:after="0" w:line="284" w:lineRule="auto"/>
        <w:tabs>
          <w:tab w:leader="none" w:pos="15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compliance with our code of business conduct and ethics, including reviewing the adequacy and effectiveness of our procedures to ensure proper compliance.</w:t>
      </w:r>
    </w:p>
    <w:p>
      <w:pPr>
        <w:spacing w:after="0" w:line="141" w:lineRule="exact"/>
        <w:rPr>
          <w:sz w:val="20"/>
          <w:szCs w:val="20"/>
          <w:color w:val="auto"/>
        </w:rPr>
      </w:pPr>
    </w:p>
    <w:p>
      <w:pPr>
        <w:ind w:left="700" w:right="200" w:firstLine="393"/>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Compensation Committee. </w:t>
      </w:r>
      <w:r>
        <w:rPr>
          <w:rFonts w:ascii="Times New Roman" w:cs="Times New Roman" w:eastAsia="Times New Roman" w:hAnsi="Times New Roman"/>
          <w:sz w:val="16"/>
          <w:szCs w:val="16"/>
          <w:color w:val="auto"/>
        </w:rPr>
        <w:t>Our compensation committee consists of Bin Wei, Jun Ge and Aaron Xiaolei Hou. Jun Ge is the chairman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compensation committee. We have determined that each of Bin Wei, Jun Ge and Aaron Xiaolei Hou satisfies the “independence” requirements of Rule 5605 of the Nasdaq Stock Market Rules.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78" w:lineRule="exact"/>
        <w:rPr>
          <w:sz w:val="20"/>
          <w:szCs w:val="20"/>
          <w:color w:val="auto"/>
        </w:rPr>
      </w:pPr>
    </w:p>
    <w:p>
      <w:pPr>
        <w:ind w:left="1580" w:right="480" w:hanging="391"/>
        <w:spacing w:after="0" w:line="284" w:lineRule="auto"/>
        <w:tabs>
          <w:tab w:leader="none" w:pos="1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recommending to the board for its approval, the compensation for our chief executive officer and other executive officers;</w:t>
      </w:r>
    </w:p>
    <w:p>
      <w:pPr>
        <w:spacing w:after="0" w:line="58"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to the board for determination with respect to the compensation of our non-employee directors;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periodically and approving any incentive compensation or equity plans, programs or similar arrangements; and</w:t>
      </w:r>
    </w:p>
    <w:p>
      <w:pPr>
        <w:spacing w:after="0" w:line="117" w:lineRule="exact"/>
        <w:rPr>
          <w:rFonts w:ascii="Times New Roman" w:cs="Times New Roman" w:eastAsia="Times New Roman" w:hAnsi="Times New Roman"/>
          <w:sz w:val="16"/>
          <w:szCs w:val="16"/>
          <w:color w:val="auto"/>
        </w:rPr>
      </w:pPr>
    </w:p>
    <w:p>
      <w:pPr>
        <w:ind w:left="1580" w:right="220" w:hanging="391"/>
        <w:spacing w:after="0" w:line="284" w:lineRule="auto"/>
        <w:tabs>
          <w:tab w:leader="none" w:pos="1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compensation consultant, legal counsel or other adviser only after taking into consideration all factors relevant to that person’s independence from management.</w:t>
      </w:r>
    </w:p>
    <w:p>
      <w:pPr>
        <w:spacing w:after="0" w:line="141" w:lineRule="exact"/>
        <w:rPr>
          <w:sz w:val="20"/>
          <w:szCs w:val="20"/>
          <w:color w:val="auto"/>
        </w:rPr>
      </w:pPr>
    </w:p>
    <w:p>
      <w:pPr>
        <w:ind w:left="700" w:right="20" w:firstLine="393"/>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Nominating and Corporate Governance Committee. </w:t>
      </w:r>
      <w:r>
        <w:rPr>
          <w:rFonts w:ascii="Times New Roman" w:cs="Times New Roman" w:eastAsia="Times New Roman" w:hAnsi="Times New Roman"/>
          <w:sz w:val="16"/>
          <w:szCs w:val="16"/>
          <w:color w:val="auto"/>
        </w:rPr>
        <w:t>Our nominating and corporate governance committee consists of Bin Wei, Jun Ge and Aaron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Xiaolei Hou. Aaron Xiaolei Hou is the chairperson of our nominating and corporate governance committee. Each of Bin Wei, Jun Ge and Aaron Xiaolei Hou satisfies the “independence” requirements of Rule 5605 of the Nasdaq Stock Market Rules.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78" w:lineRule="exact"/>
        <w:rPr>
          <w:sz w:val="20"/>
          <w:szCs w:val="20"/>
          <w:color w:val="auto"/>
        </w:rPr>
      </w:pPr>
    </w:p>
    <w:p>
      <w:pPr>
        <w:ind w:left="1580" w:hanging="391"/>
        <w:spacing w:after="0"/>
        <w:tabs>
          <w:tab w:leader="none" w:pos="1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and recommending to the board nominees and officer nominees for election by the shareholders or appointment by the board;</w:t>
      </w:r>
    </w:p>
    <w:p>
      <w:pPr>
        <w:spacing w:after="0" w:line="117" w:lineRule="exact"/>
        <w:rPr>
          <w:rFonts w:ascii="Times New Roman" w:cs="Times New Roman" w:eastAsia="Times New Roman" w:hAnsi="Times New Roman"/>
          <w:sz w:val="16"/>
          <w:szCs w:val="16"/>
          <w:color w:val="auto"/>
        </w:rPr>
      </w:pPr>
    </w:p>
    <w:p>
      <w:pPr>
        <w:ind w:left="1580" w:right="140" w:hanging="391"/>
        <w:spacing w:after="0" w:line="284" w:lineRule="auto"/>
        <w:tabs>
          <w:tab w:leader="none" w:pos="1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annually with the board the current composition of the board with regards to characteristics such as independence, knowledge, skills, experience and diversity;</w:t>
      </w:r>
    </w:p>
    <w:p>
      <w:pPr>
        <w:spacing w:after="0" w:line="58" w:lineRule="exact"/>
        <w:rPr>
          <w:rFonts w:ascii="Times New Roman" w:cs="Times New Roman" w:eastAsia="Times New Roman" w:hAnsi="Times New Roman"/>
          <w:sz w:val="16"/>
          <w:szCs w:val="16"/>
          <w:color w:val="auto"/>
        </w:rPr>
      </w:pPr>
    </w:p>
    <w:p>
      <w:pPr>
        <w:ind w:left="1580" w:hanging="391"/>
        <w:spacing w:after="0" w:line="284" w:lineRule="auto"/>
        <w:tabs>
          <w:tab w:leader="none" w:pos="1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recommendations on the frequency and structure of board meetings and monitoring the functioning of the committees of the board; and</w:t>
      </w:r>
    </w:p>
    <w:p>
      <w:pPr>
        <w:spacing w:after="0" w:line="58" w:lineRule="exact"/>
        <w:rPr>
          <w:rFonts w:ascii="Times New Roman" w:cs="Times New Roman" w:eastAsia="Times New Roman" w:hAnsi="Times New Roman"/>
          <w:sz w:val="16"/>
          <w:szCs w:val="16"/>
          <w:color w:val="auto"/>
        </w:rPr>
      </w:pPr>
    </w:p>
    <w:p>
      <w:pPr>
        <w:ind w:left="1580" w:hanging="391"/>
        <w:spacing w:after="0" w:line="267" w:lineRule="auto"/>
        <w:tabs>
          <w:tab w:leader="none" w:pos="1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136</w:t>
      </w:r>
    </w:p>
    <w:p>
      <w:pPr>
        <w:sectPr>
          <w:pgSz w:w="11900" w:h="16838" w:orient="portrait"/>
          <w:cols w:equalWidth="0" w:num="1">
            <w:col w:w="10520"/>
          </w:cols>
          <w:pgMar w:left="320" w:top="447" w:right="10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Duties of Directors</w:t>
      </w:r>
    </w:p>
    <w:p>
      <w:pPr>
        <w:spacing w:after="0" w:line="107"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A director must exercise the skill and care of a reasonably diligent person having both (i) the general knowledge, skill and experience that may reasonably be expected of a person in the same position (an objective test), and (ii) if greater, the general knowledge, skill and experience that that director actually possesses (a subjective test).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169" w:lineRule="exact"/>
        <w:rPr>
          <w:sz w:val="20"/>
          <w:szCs w:val="20"/>
          <w:color w:val="auto"/>
        </w:rPr>
      </w:pPr>
    </w:p>
    <w:p>
      <w:pPr>
        <w:ind w:left="700" w:right="480" w:firstLine="393"/>
        <w:spacing w:after="0" w:line="284" w:lineRule="auto"/>
        <w:rPr>
          <w:sz w:val="20"/>
          <w:szCs w:val="20"/>
          <w:color w:val="auto"/>
        </w:rPr>
      </w:pPr>
      <w:r>
        <w:rPr>
          <w:rFonts w:ascii="Times New Roman" w:cs="Times New Roman" w:eastAsia="Times New Roman" w:hAnsi="Times New Roman"/>
          <w:sz w:val="16"/>
          <w:szCs w:val="16"/>
          <w:color w:val="auto"/>
        </w:rPr>
        <w:t>Our board of directors has all the powers necessary for managing, and for directing and supervising, our business affairs. The functions and powers of our board of directors include, among others:</w:t>
      </w:r>
    </w:p>
    <w:p>
      <w:pPr>
        <w:spacing w:after="0" w:line="59" w:lineRule="exact"/>
        <w:rPr>
          <w:sz w:val="20"/>
          <w:szCs w:val="20"/>
          <w:color w:val="auto"/>
        </w:rPr>
      </w:pPr>
    </w:p>
    <w:p>
      <w:pPr>
        <w:ind w:left="1580" w:right="340" w:hanging="391"/>
        <w:spacing w:after="0" w:line="284" w:lineRule="auto"/>
        <w:tabs>
          <w:tab w:leader="none" w:pos="15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convening shareholders’ annual and extraordinary general meetings and reporting its work to shareholders at such meetings; declaring dividends and distributions;</w:t>
      </w:r>
    </w:p>
    <w:p>
      <w:pPr>
        <w:spacing w:after="0" w:line="58"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officers and determining the term of office of the officers;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exercising the borrowing powers of our company and mortgaging the property of our company; and</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the transfer of shares in our company, including the registration of such shares in our share register.</w:t>
      </w:r>
    </w:p>
    <w:p>
      <w:pPr>
        <w:spacing w:after="0" w:line="2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Terms of Directors and Officers</w:t>
      </w:r>
    </w:p>
    <w:p>
      <w:pPr>
        <w:spacing w:after="0" w:line="107"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Our directors may be elected by an ordinary resolution of our shareholders. Alternatively, our board of directors may, by the affirmative vote of a simple majority of the directors present and voting at a board meeting appoint any person as a director to fill a casual vacancy on our board. Our directors are not automatically subject to a term of office and will hold office until such time as they resign or are removed from office by an ordinary resolution of our shareholders. Notwithstanding the foregoing, for so long as SAIF IV Healthcare (BVI) Limited is a shareholder holding at least 10% of the issued shares of our company, it shall have the exclusive right to appoint, remove and replace one director by written notice to our company and such appointment, removal or replacement shall become effective forthwith upon delivery of such written notice to our company without the need for further authorization from the board of directors or shareholders. On May 9, 2020, SAIF IV Healthcare (BVI) Limited executed a waiver letter to waive such right. As of December 31, 2022, SAIF IV Healthcare (BVI) Limited held no equity interests in our company. In addition, a director will cease to be a director if he (i) resigns his office by notice delivered to our company or tendered at a board meeting; (ii) becomes of unsound mind or dies; (iii) without special leave of absence from the board of directors, is absent from meetings of the board for six consecutive times and the board resolves that his office be vacated; (iv) becomes bankrupt or has a receiving order made against him or suspends payment or compounds with his creditors; (v) is prohibited by law from being a director; or (vi) ceases to be a director by virtue of any provision of the Companies Act or our articles of association.</w:t>
      </w:r>
    </w:p>
    <w:p>
      <w:pPr>
        <w:spacing w:after="0" w:line="170" w:lineRule="exact"/>
        <w:rPr>
          <w:sz w:val="20"/>
          <w:szCs w:val="20"/>
          <w:color w:val="auto"/>
        </w:rPr>
      </w:pPr>
    </w:p>
    <w:p>
      <w:pPr>
        <w:ind w:left="700" w:right="180" w:firstLine="393"/>
        <w:spacing w:after="0" w:line="262" w:lineRule="auto"/>
        <w:rPr>
          <w:sz w:val="20"/>
          <w:szCs w:val="20"/>
          <w:color w:val="auto"/>
        </w:rPr>
      </w:pPr>
      <w:r>
        <w:rPr>
          <w:rFonts w:ascii="Times New Roman" w:cs="Times New Roman" w:eastAsia="Times New Roman" w:hAnsi="Times New Roman"/>
          <w:sz w:val="16"/>
          <w:szCs w:val="16"/>
          <w:color w:val="auto"/>
        </w:rPr>
        <w:t>Our officers are appointed by and serve at the discretion of the board of directors, and may be removed by our board of directors save that the chairman of the board shall be elected and removed by ordinary resolution of shareholders. Executive officers, including but not limited to chief executive officer, chief operating officer, co-chief financial officers, shall be nominated by the nominating and corporate governance committee of the board.</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Board Diversity Matrix</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Board Diversity Matrix (As of February 28, 2023)</w:t>
      </w:r>
    </w:p>
    <w:p>
      <w:pPr>
        <w:spacing w:after="0" w:line="27" w:lineRule="exact"/>
        <w:rPr>
          <w:sz w:val="20"/>
          <w:szCs w:val="20"/>
          <w:color w:val="auto"/>
        </w:rPr>
      </w:pPr>
    </w:p>
    <w:tbl>
      <w:tblPr>
        <w:tblLayout w:type="fixed"/>
        <w:tblInd w:w="2280" w:type="dxa"/>
        <w:tblCellMar>
          <w:top w:w="0" w:type="dxa"/>
          <w:left w:w="0" w:type="dxa"/>
          <w:bottom w:w="0" w:type="dxa"/>
          <w:right w:w="0" w:type="dxa"/>
        </w:tblCellMar>
      </w:tblPr>
      <w:tr>
        <w:trPr>
          <w:trHeight w:val="197"/>
        </w:trPr>
        <w:tc>
          <w:tcPr>
            <w:tcW w:w="3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Country of Principal Executive Offices</w:t>
            </w:r>
          </w:p>
        </w:tc>
        <w:tc>
          <w:tcPr>
            <w:tcW w:w="3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PRC</w:t>
            </w:r>
          </w:p>
        </w:tc>
        <w:tc>
          <w:tcPr>
            <w:tcW w:w="40" w:type="dxa"/>
            <w:vAlign w:val="bottom"/>
            <w:tcBorders>
              <w:top w:val="single" w:sz="8" w:color="CCEEFF"/>
            </w:tcBorders>
            <w:shd w:val="clear" w:color="auto" w:fill="CCEEFF"/>
          </w:tcPr>
          <w:p>
            <w:pPr>
              <w:spacing w:after="0"/>
              <w:rPr>
                <w:sz w:val="17"/>
                <w:szCs w:val="17"/>
                <w:color w:val="auto"/>
              </w:rPr>
            </w:pPr>
          </w:p>
        </w:tc>
      </w:tr>
      <w:tr>
        <w:trPr>
          <w:trHeight w:val="193"/>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Foreign Private Issuer</w:t>
            </w:r>
          </w:p>
        </w:tc>
        <w:tc>
          <w:tcPr>
            <w:tcW w:w="3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Yes</w:t>
            </w:r>
          </w:p>
        </w:tc>
      </w:tr>
      <w:tr>
        <w:trPr>
          <w:trHeight w:val="19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Disclosure Prohibited Under Home Country Law</w:t>
            </w:r>
          </w:p>
        </w:tc>
        <w:tc>
          <w:tcPr>
            <w:tcW w:w="3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No</w:t>
            </w: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Total Number of Directors</w:t>
            </w:r>
          </w:p>
        </w:tc>
        <w:tc>
          <w:tcPr>
            <w:tcW w:w="3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r>
      <w:tr>
        <w:trPr>
          <w:trHeight w:val="309"/>
        </w:trPr>
        <w:tc>
          <w:tcPr>
            <w:tcW w:w="3200" w:type="dxa"/>
            <w:vAlign w:val="bottom"/>
          </w:tcPr>
          <w:p>
            <w:pPr>
              <w:spacing w:after="0"/>
              <w:rPr>
                <w:sz w:val="24"/>
                <w:szCs w:val="24"/>
                <w:color w:val="auto"/>
              </w:rPr>
            </w:pPr>
          </w:p>
        </w:tc>
        <w:tc>
          <w:tcPr>
            <w:tcW w:w="3440" w:type="dxa"/>
            <w:vAlign w:val="bottom"/>
          </w:tcPr>
          <w:p>
            <w:pPr>
              <w:jc w:val="right"/>
              <w:ind w:right="3100"/>
              <w:spacing w:after="0"/>
              <w:rPr>
                <w:sz w:val="20"/>
                <w:szCs w:val="20"/>
                <w:color w:val="auto"/>
              </w:rPr>
            </w:pPr>
            <w:r>
              <w:rPr>
                <w:rFonts w:ascii="Times New Roman" w:cs="Times New Roman" w:eastAsia="Times New Roman" w:hAnsi="Times New Roman"/>
                <w:sz w:val="16"/>
                <w:szCs w:val="16"/>
                <w:color w:val="auto"/>
                <w:w w:val="99"/>
              </w:rPr>
              <w:t>137</w:t>
            </w:r>
          </w:p>
        </w:tc>
        <w:tc>
          <w:tcPr>
            <w:tcW w:w="40" w:type="dxa"/>
            <w:vAlign w:val="bottom"/>
          </w:tcPr>
          <w:p>
            <w:pPr>
              <w:spacing w:after="0"/>
              <w:rPr>
                <w:sz w:val="24"/>
                <w:szCs w:val="24"/>
                <w:color w:val="auto"/>
              </w:rPr>
            </w:pPr>
          </w:p>
        </w:tc>
      </w:tr>
    </w:tbl>
    <w:p>
      <w:pPr>
        <w:sectPr>
          <w:pgSz w:w="11900" w:h="16838" w:orient="portrait"/>
          <w:cols w:equalWidth="0" w:num="1">
            <w:col w:w="10540"/>
          </w:cols>
          <w:pgMar w:left="320" w:top="447" w:right="10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53"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6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Non-</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Did Not</w:t>
            </w:r>
          </w:p>
        </w:tc>
        <w:tc>
          <w:tcPr>
            <w:tcW w:w="0" w:type="dxa"/>
            <w:vAlign w:val="bottom"/>
          </w:tcPr>
          <w:p>
            <w:pPr>
              <w:spacing w:after="0"/>
              <w:rPr>
                <w:sz w:val="1"/>
                <w:szCs w:val="1"/>
                <w:color w:val="auto"/>
              </w:rPr>
            </w:pPr>
          </w:p>
        </w:tc>
      </w:tr>
      <w:tr>
        <w:trPr>
          <w:trHeight w:val="133"/>
        </w:trPr>
        <w:tc>
          <w:tcPr>
            <w:tcW w:w="6160" w:type="dxa"/>
            <w:vAlign w:val="bottom"/>
          </w:tcPr>
          <w:p>
            <w:pPr>
              <w:spacing w:after="0"/>
              <w:rPr>
                <w:sz w:val="11"/>
                <w:szCs w:val="11"/>
                <w:color w:val="auto"/>
              </w:rPr>
            </w:pPr>
          </w:p>
        </w:tc>
        <w:tc>
          <w:tcPr>
            <w:tcW w:w="8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w w:val="93"/>
              </w:rPr>
              <w:t>Female</w:t>
            </w:r>
          </w:p>
        </w:tc>
        <w:tc>
          <w:tcPr>
            <w:tcW w:w="7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w w:val="99"/>
              </w:rPr>
              <w:t>Male</w:t>
            </w:r>
          </w:p>
        </w:tc>
        <w:tc>
          <w:tcPr>
            <w:tcW w:w="820" w:type="dxa"/>
            <w:vAlign w:val="bottom"/>
            <w:gridSpan w:val="2"/>
            <w:vMerge w:val="continue"/>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Disclose</w:t>
            </w:r>
          </w:p>
        </w:tc>
        <w:tc>
          <w:tcPr>
            <w:tcW w:w="0" w:type="dxa"/>
            <w:vAlign w:val="bottom"/>
          </w:tcPr>
          <w:p>
            <w:pPr>
              <w:spacing w:after="0"/>
              <w:rPr>
                <w:sz w:val="1"/>
                <w:szCs w:val="1"/>
                <w:color w:val="auto"/>
              </w:rPr>
            </w:pPr>
          </w:p>
        </w:tc>
      </w:tr>
      <w:tr>
        <w:trPr>
          <w:trHeight w:val="155"/>
        </w:trPr>
        <w:tc>
          <w:tcPr>
            <w:tcW w:w="6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w w:val="99"/>
              </w:rPr>
              <w:t>Binary</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Gender</w:t>
            </w:r>
          </w:p>
        </w:tc>
        <w:tc>
          <w:tcPr>
            <w:tcW w:w="0" w:type="dxa"/>
            <w:vAlign w:val="bottom"/>
          </w:tcPr>
          <w:p>
            <w:pPr>
              <w:spacing w:after="0"/>
              <w:rPr>
                <w:sz w:val="1"/>
                <w:szCs w:val="1"/>
                <w:color w:val="auto"/>
              </w:rPr>
            </w:pPr>
          </w:p>
        </w:tc>
      </w:tr>
      <w:tr>
        <w:trPr>
          <w:trHeight w:val="173"/>
        </w:trPr>
        <w:tc>
          <w:tcPr>
            <w:tcW w:w="616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Part I: Gender Identity</w:t>
            </w:r>
          </w:p>
        </w:tc>
        <w:tc>
          <w:tcPr>
            <w:tcW w:w="4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Directors</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4</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0</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9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Underrepresented Individual in Home Country Jurisdiction</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0</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LGBTQ+</w:t>
            </w: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0</w:t>
            </w: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Did Not Disclose Demographic Background</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0</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700"/>
        <w:spacing w:after="0"/>
        <w:tabs>
          <w:tab w:leader="none" w:pos="1080" w:val="left"/>
        </w:tabs>
        <w:rPr>
          <w:sz w:val="20"/>
          <w:szCs w:val="20"/>
          <w:color w:val="auto"/>
        </w:rPr>
      </w:pPr>
      <w:r>
        <w:rPr>
          <w:rFonts w:ascii="Times New Roman" w:cs="Times New Roman" w:eastAsia="Times New Roman" w:hAnsi="Times New Roman"/>
          <w:sz w:val="16"/>
          <w:szCs w:val="16"/>
          <w:b w:val="1"/>
          <w:bCs w:val="1"/>
          <w:color w:val="auto"/>
        </w:rPr>
        <w:t>D.</w:t>
        <w:tab/>
        <w:t>Employees</w:t>
      </w:r>
    </w:p>
    <w:p>
      <w:pPr>
        <w:spacing w:after="0" w:line="204"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As of December 31, 2020, 2021 and 2022, we had 1,314, 1,644 and 1,034 employees. The following table sets forth the numbers of our employees categorized by function as of December 31, 2022.</w:t>
      </w:r>
    </w:p>
    <w:p>
      <w:pPr>
        <w:spacing w:after="0" w:line="162" w:lineRule="exact"/>
        <w:rPr>
          <w:sz w:val="20"/>
          <w:szCs w:val="20"/>
          <w:color w:val="auto"/>
        </w:rPr>
      </w:pPr>
    </w:p>
    <w:tbl>
      <w:tblPr>
        <w:tblLayout w:type="fixed"/>
        <w:tblInd w:w="1880" w:type="dxa"/>
        <w:tblCellMar>
          <w:top w:w="0" w:type="dxa"/>
          <w:left w:w="0" w:type="dxa"/>
          <w:bottom w:w="0" w:type="dxa"/>
          <w:right w:w="0" w:type="dxa"/>
        </w:tblCellMar>
      </w:tblPr>
      <w:tr>
        <w:trPr>
          <w:trHeight w:val="155"/>
        </w:trPr>
        <w:tc>
          <w:tcPr>
            <w:tcW w:w="57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Functions:</w:t>
            </w:r>
          </w:p>
        </w:tc>
        <w:tc>
          <w:tcPr>
            <w:tcW w:w="172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As of December 31, 2022</w:t>
            </w:r>
          </w:p>
        </w:tc>
        <w:tc>
          <w:tcPr>
            <w:tcW w:w="0" w:type="dxa"/>
            <w:vAlign w:val="bottom"/>
          </w:tcPr>
          <w:p>
            <w:pPr>
              <w:spacing w:after="0"/>
              <w:rPr>
                <w:sz w:val="1"/>
                <w:szCs w:val="1"/>
                <w:color w:val="auto"/>
              </w:rPr>
            </w:pPr>
          </w:p>
        </w:tc>
      </w:tr>
      <w:tr>
        <w:trPr>
          <w:trHeight w:val="125"/>
        </w:trPr>
        <w:tc>
          <w:tcPr>
            <w:tcW w:w="5760" w:type="dxa"/>
            <w:vAlign w:val="bottom"/>
            <w:vMerge w:val="continue"/>
          </w:tcPr>
          <w:p>
            <w:pPr>
              <w:spacing w:after="0"/>
              <w:rPr>
                <w:sz w:val="10"/>
                <w:szCs w:val="10"/>
                <w:color w:val="auto"/>
              </w:rPr>
            </w:pPr>
          </w:p>
        </w:tc>
        <w:tc>
          <w:tcPr>
            <w:tcW w:w="98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Number</w:t>
            </w:r>
          </w:p>
        </w:tc>
        <w:tc>
          <w:tcPr>
            <w:tcW w:w="7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Insurance consulting</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4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Sales, marketing and training</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329</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193"/>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Client service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4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93"/>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Product management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3"/>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technology</w:t>
            </w: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228</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197"/>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46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4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100.0</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700"/>
        <w:spacing w:after="0"/>
        <w:tabs>
          <w:tab w:leader="none" w:pos="1080" w:val="left"/>
        </w:tabs>
        <w:rPr>
          <w:sz w:val="20"/>
          <w:szCs w:val="20"/>
          <w:color w:val="auto"/>
        </w:rPr>
      </w:pPr>
      <w:r>
        <w:rPr>
          <w:rFonts w:ascii="Times New Roman" w:cs="Times New Roman" w:eastAsia="Times New Roman" w:hAnsi="Times New Roman"/>
          <w:sz w:val="16"/>
          <w:szCs w:val="16"/>
          <w:b w:val="1"/>
          <w:bCs w:val="1"/>
          <w:color w:val="auto"/>
        </w:rPr>
        <w:t>E.</w:t>
        <w:tab/>
        <w:t>Share Ownership</w:t>
      </w:r>
    </w:p>
    <w:p>
      <w:pPr>
        <w:spacing w:after="0" w:line="204" w:lineRule="exact"/>
        <w:rPr>
          <w:sz w:val="20"/>
          <w:szCs w:val="20"/>
          <w:color w:val="auto"/>
        </w:rPr>
      </w:pPr>
    </w:p>
    <w:p>
      <w:pPr>
        <w:ind w:left="700" w:right="440" w:firstLine="393"/>
        <w:spacing w:after="0" w:line="284" w:lineRule="auto"/>
        <w:rPr>
          <w:sz w:val="20"/>
          <w:szCs w:val="20"/>
          <w:color w:val="auto"/>
        </w:rPr>
      </w:pPr>
      <w:r>
        <w:rPr>
          <w:rFonts w:ascii="Times New Roman" w:cs="Times New Roman" w:eastAsia="Times New Roman" w:hAnsi="Times New Roman"/>
          <w:sz w:val="16"/>
          <w:szCs w:val="16"/>
          <w:color w:val="auto"/>
        </w:rPr>
        <w:t>Except as specifically noted, the following table sets forth information with respect to the beneficial ownership of our common shares on an as-converted basis as of February 28, 2023, by:</w:t>
      </w:r>
    </w:p>
    <w:p>
      <w:pPr>
        <w:spacing w:after="0" w:line="59" w:lineRule="exact"/>
        <w:rPr>
          <w:sz w:val="20"/>
          <w:szCs w:val="20"/>
          <w:color w:val="auto"/>
        </w:rPr>
      </w:pPr>
    </w:p>
    <w:p>
      <w:pPr>
        <w:ind w:left="1580" w:hanging="391"/>
        <w:spacing w:after="0"/>
        <w:tabs>
          <w:tab w:leader="none" w:pos="15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and executive officers; and</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principal shareholders who beneficially own more than 5% of our total issued and outstanding shares.</w:t>
      </w:r>
    </w:p>
    <w:p>
      <w:pPr>
        <w:spacing w:after="0" w:line="202" w:lineRule="exact"/>
        <w:rPr>
          <w:sz w:val="20"/>
          <w:szCs w:val="20"/>
          <w:color w:val="auto"/>
        </w:rPr>
      </w:pPr>
    </w:p>
    <w:p>
      <w:pPr>
        <w:ind w:left="700" w:right="380" w:firstLine="393"/>
        <w:spacing w:after="0" w:line="262" w:lineRule="auto"/>
        <w:rPr>
          <w:sz w:val="20"/>
          <w:szCs w:val="20"/>
          <w:color w:val="auto"/>
        </w:rPr>
      </w:pPr>
      <w:r>
        <w:rPr>
          <w:rFonts w:ascii="Times New Roman" w:cs="Times New Roman" w:eastAsia="Times New Roman" w:hAnsi="Times New Roman"/>
          <w:sz w:val="16"/>
          <w:szCs w:val="16"/>
          <w:color w:val="auto"/>
        </w:rPr>
        <w:t>The calculations in the table below are based on 1,023,336,193 common shares issued and outstanding as of February 28, 2023, including (i) 872,744,986 Class A common shares (excluding 4,852,460 Class A common shares reserved for issuance under our Global Plan and 2019 Plan and 16,858,600 Class A common shares in the form of ADSs that we repurchased under our share repurchase program); and (ii) 150,591,207 Class B common shares.</w:t>
      </w:r>
    </w:p>
    <w:p>
      <w:pPr>
        <w:spacing w:after="0" w:line="161" w:lineRule="exact"/>
        <w:rPr>
          <w:sz w:val="20"/>
          <w:szCs w:val="20"/>
          <w:color w:val="auto"/>
        </w:rPr>
      </w:pPr>
    </w:p>
    <w:p>
      <w:pPr>
        <w:ind w:left="700" w:right="200" w:firstLine="393"/>
        <w:spacing w:after="0" w:line="262"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138</w:t>
      </w:r>
    </w:p>
    <w:p>
      <w:pPr>
        <w:sectPr>
          <w:pgSz w:w="11900" w:h="16838" w:orient="portrait"/>
          <w:cols w:equalWidth="0" w:num="1">
            <w:col w:w="10540"/>
          </w:cols>
          <w:pgMar w:left="320" w:top="447" w:right="10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0" w:lineRule="exact"/>
        <w:rPr>
          <w:sz w:val="20"/>
          <w:szCs w:val="20"/>
          <w:color w:val="auto"/>
        </w:rPr>
      </w:pPr>
    </w:p>
    <w:tbl>
      <w:tblPr>
        <w:tblLayout w:type="fixed"/>
        <w:tblInd w:w="1100" w:type="dxa"/>
        <w:tblCellMar>
          <w:top w:w="0" w:type="dxa"/>
          <w:left w:w="0" w:type="dxa"/>
          <w:bottom w:w="0" w:type="dxa"/>
          <w:right w:w="0" w:type="dxa"/>
        </w:tblCellMar>
      </w:tblPr>
      <w:tr>
        <w:trPr>
          <w:trHeight w:val="155"/>
        </w:trPr>
        <w:tc>
          <w:tcPr>
            <w:tcW w:w="53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Common shares Beneficially Owned</w:t>
            </w: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5300" w:type="dxa"/>
            <w:vAlign w:val="bottom"/>
          </w:tcPr>
          <w:p>
            <w:pPr>
              <w:spacing w:after="0"/>
              <w:rPr>
                <w:sz w:val="8"/>
                <w:szCs w:val="8"/>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300" w:type="dxa"/>
            <w:vAlign w:val="bottom"/>
          </w:tcPr>
          <w:p>
            <w:pPr>
              <w:spacing w:after="0"/>
              <w:rPr>
                <w:sz w:val="8"/>
                <w:szCs w:val="8"/>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820" w:type="dxa"/>
            <w:vAlign w:val="bottom"/>
            <w:gridSpan w:val="2"/>
          </w:tcPr>
          <w:p>
            <w:pPr>
              <w:jc w:val="center"/>
              <w:ind w:right="280"/>
              <w:spacing w:after="0" w:line="103" w:lineRule="exact"/>
              <w:rPr>
                <w:sz w:val="20"/>
                <w:szCs w:val="20"/>
                <w:color w:val="auto"/>
              </w:rPr>
            </w:pPr>
            <w:r>
              <w:rPr>
                <w:rFonts w:ascii="Times New Roman" w:cs="Times New Roman" w:eastAsia="Times New Roman" w:hAnsi="Times New Roman"/>
                <w:sz w:val="11"/>
                <w:szCs w:val="11"/>
                <w:b w:val="1"/>
                <w:bCs w:val="1"/>
                <w:color w:val="auto"/>
              </w:rPr>
              <w:t>% of</w:t>
            </w:r>
          </w:p>
        </w:tc>
        <w:tc>
          <w:tcPr>
            <w:tcW w:w="5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 of</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3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2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620" w:type="dxa"/>
            <w:vAlign w:val="bottom"/>
            <w:gridSpan w:val="2"/>
          </w:tcPr>
          <w:p>
            <w:pPr>
              <w:jc w:val="center"/>
              <w:ind w:right="20"/>
              <w:spacing w:after="0" w:line="133"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33"/>
        </w:trPr>
        <w:tc>
          <w:tcPr>
            <w:tcW w:w="530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Common</w:t>
            </w:r>
          </w:p>
        </w:tc>
        <w:tc>
          <w:tcPr>
            <w:tcW w:w="300" w:type="dxa"/>
            <w:vAlign w:val="bottom"/>
          </w:tcPr>
          <w:p>
            <w:pPr>
              <w:spacing w:after="0"/>
              <w:rPr>
                <w:sz w:val="11"/>
                <w:szCs w:val="11"/>
                <w:color w:val="auto"/>
              </w:rPr>
            </w:pPr>
          </w:p>
        </w:tc>
        <w:tc>
          <w:tcPr>
            <w:tcW w:w="114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3"/>
                <w:szCs w:val="13"/>
                <w:b w:val="1"/>
                <w:bCs w:val="1"/>
                <w:color w:val="auto"/>
              </w:rPr>
              <w:t>Common</w:t>
            </w:r>
          </w:p>
        </w:tc>
        <w:tc>
          <w:tcPr>
            <w:tcW w:w="8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620" w:type="dxa"/>
            <w:vAlign w:val="bottom"/>
            <w:gridSpan w:val="2"/>
          </w:tcPr>
          <w:p>
            <w:pPr>
              <w:jc w:val="center"/>
              <w:ind w:right="20"/>
              <w:spacing w:after="0" w:line="133" w:lineRule="exact"/>
              <w:rPr>
                <w:sz w:val="20"/>
                <w:szCs w:val="20"/>
                <w:color w:val="auto"/>
              </w:rPr>
            </w:pPr>
            <w:r>
              <w:rPr>
                <w:rFonts w:ascii="Times New Roman" w:cs="Times New Roman" w:eastAsia="Times New Roman" w:hAnsi="Times New Roman"/>
                <w:sz w:val="13"/>
                <w:szCs w:val="13"/>
                <w:b w:val="1"/>
                <w:bCs w:val="1"/>
                <w:color w:val="auto"/>
                <w:w w:val="95"/>
              </w:rPr>
              <w:t>Voting</w:t>
            </w: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30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Power</w:t>
            </w:r>
            <w:r>
              <w:rPr>
                <w:rFonts w:ascii="Times New Roman" w:cs="Times New Roman" w:eastAsia="Times New Roman" w:hAnsi="Times New Roman"/>
                <w:sz w:val="8"/>
                <w:szCs w:val="8"/>
                <w:b w:val="1"/>
                <w:bCs w:val="1"/>
                <w:color w:val="auto"/>
                <w:w w:val="96"/>
              </w:rPr>
              <w:t>†</w:t>
            </w:r>
          </w:p>
        </w:tc>
        <w:tc>
          <w:tcPr>
            <w:tcW w:w="0" w:type="dxa"/>
            <w:vAlign w:val="bottom"/>
          </w:tcPr>
          <w:p>
            <w:pPr>
              <w:spacing w:after="0"/>
              <w:rPr>
                <w:sz w:val="1"/>
                <w:szCs w:val="1"/>
                <w:color w:val="auto"/>
              </w:rPr>
            </w:pPr>
          </w:p>
        </w:tc>
      </w:tr>
      <w:tr>
        <w:trPr>
          <w:trHeight w:val="173"/>
        </w:trPr>
        <w:tc>
          <w:tcPr>
            <w:tcW w:w="530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8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300" w:type="dxa"/>
            <w:vAlign w:val="bottom"/>
          </w:tcPr>
          <w:p>
            <w:pPr>
              <w:spacing w:after="0" w:line="192" w:lineRule="exact"/>
              <w:rPr>
                <w:sz w:val="20"/>
                <w:szCs w:val="20"/>
                <w:color w:val="auto"/>
              </w:rPr>
            </w:pPr>
            <w:r>
              <w:rPr>
                <w:rFonts w:ascii="Times New Roman" w:cs="Times New Roman" w:eastAsia="Times New Roman" w:hAnsi="Times New Roman"/>
                <w:sz w:val="15"/>
                <w:szCs w:val="15"/>
                <w:color w:val="auto"/>
              </w:rPr>
              <w:t>Cunjun Ma</w:t>
            </w:r>
            <w:r>
              <w:rPr>
                <w:rFonts w:ascii="Times New Roman" w:cs="Times New Roman" w:eastAsia="Times New Roman" w:hAnsi="Times New Roman"/>
                <w:sz w:val="22"/>
                <w:szCs w:val="22"/>
                <w:color w:val="auto"/>
                <w:vertAlign w:val="superscript"/>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157,362,332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150,591,207</w:t>
            </w:r>
          </w:p>
        </w:tc>
        <w:tc>
          <w:tcPr>
            <w:tcW w:w="30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29.8</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76.8</w:t>
            </w:r>
          </w:p>
        </w:tc>
        <w:tc>
          <w:tcPr>
            <w:tcW w:w="0" w:type="dxa"/>
            <w:vAlign w:val="bottom"/>
          </w:tcPr>
          <w:p>
            <w:pPr>
              <w:spacing w:after="0"/>
              <w:rPr>
                <w:sz w:val="1"/>
                <w:szCs w:val="1"/>
                <w:color w:val="auto"/>
              </w:rPr>
            </w:pPr>
          </w:p>
        </w:tc>
      </w:tr>
      <w:tr>
        <w:trPr>
          <w:trHeight w:val="19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Xuchun Luo</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15,922,109</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left="14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1.5</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Bin Wei</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140" w:type="dxa"/>
            <w:vAlign w:val="bottom"/>
            <w:gridSpan w:val="2"/>
          </w:tcPr>
          <w:p>
            <w:pPr>
              <w:jc w:val="center"/>
              <w:ind w:left="14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 Ge</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left="14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Aaron Xiaolei Hou</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140" w:type="dxa"/>
            <w:vAlign w:val="bottom"/>
            <w:gridSpan w:val="2"/>
          </w:tcPr>
          <w:p>
            <w:pPr>
              <w:jc w:val="center"/>
              <w:ind w:left="14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 Jiang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left="14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Ronald Tam</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140" w:type="dxa"/>
            <w:vAlign w:val="bottom"/>
            <w:gridSpan w:val="2"/>
          </w:tcPr>
          <w:p>
            <w:pPr>
              <w:jc w:val="center"/>
              <w:ind w:left="14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Minghan Xiao</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left="14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All Directors and Executive Officers as a Group</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188,796,195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150,591,207</w:t>
            </w:r>
          </w:p>
        </w:tc>
        <w:tc>
          <w:tcPr>
            <w:tcW w:w="30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32.3</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77.3</w:t>
            </w:r>
          </w:p>
        </w:tc>
        <w:tc>
          <w:tcPr>
            <w:tcW w:w="0" w:type="dxa"/>
            <w:vAlign w:val="bottom"/>
          </w:tcPr>
          <w:p>
            <w:pPr>
              <w:spacing w:after="0"/>
              <w:rPr>
                <w:sz w:val="1"/>
                <w:szCs w:val="1"/>
                <w:color w:val="auto"/>
              </w:rPr>
            </w:pPr>
          </w:p>
        </w:tc>
      </w:tr>
      <w:tr>
        <w:trPr>
          <w:trHeight w:val="19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Principal Shareholders:</w:t>
            </w: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300" w:type="dxa"/>
            <w:vAlign w:val="bottom"/>
          </w:tcPr>
          <w:p>
            <w:pPr>
              <w:spacing w:after="0" w:line="192" w:lineRule="exact"/>
              <w:rPr>
                <w:sz w:val="20"/>
                <w:szCs w:val="20"/>
                <w:color w:val="auto"/>
              </w:rPr>
            </w:pPr>
            <w:r>
              <w:rPr>
                <w:rFonts w:ascii="Times New Roman" w:cs="Times New Roman" w:eastAsia="Times New Roman" w:hAnsi="Times New Roman"/>
                <w:sz w:val="15"/>
                <w:szCs w:val="15"/>
                <w:color w:val="auto"/>
              </w:rPr>
              <w:t>Huidz Holding Limited</w:t>
            </w:r>
            <w:r>
              <w:rPr>
                <w:rFonts w:ascii="Times New Roman" w:cs="Times New Roman" w:eastAsia="Times New Roman" w:hAnsi="Times New Roman"/>
                <w:sz w:val="22"/>
                <w:szCs w:val="22"/>
                <w:color w:val="auto"/>
                <w:vertAlign w:val="superscript"/>
              </w:rPr>
              <w:t>(1)</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150,591,207</w:t>
            </w:r>
          </w:p>
        </w:tc>
        <w:tc>
          <w:tcPr>
            <w:tcW w:w="30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14.7</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72.1</w:t>
            </w:r>
          </w:p>
        </w:tc>
        <w:tc>
          <w:tcPr>
            <w:tcW w:w="0" w:type="dxa"/>
            <w:vAlign w:val="bottom"/>
          </w:tcPr>
          <w:p>
            <w:pPr>
              <w:spacing w:after="0"/>
              <w:rPr>
                <w:sz w:val="1"/>
                <w:szCs w:val="1"/>
                <w:color w:val="auto"/>
              </w:rPr>
            </w:pPr>
          </w:p>
        </w:tc>
      </w:tr>
      <w:tr>
        <w:trPr>
          <w:trHeight w:val="193"/>
        </w:trPr>
        <w:tc>
          <w:tcPr>
            <w:tcW w:w="53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5"/>
                <w:szCs w:val="15"/>
                <w:color w:val="auto"/>
              </w:rPr>
              <w:t>Crov Global Holding Limited</w:t>
            </w:r>
            <w:r>
              <w:rPr>
                <w:rFonts w:ascii="Times New Roman" w:cs="Times New Roman" w:eastAsia="Times New Roman" w:hAnsi="Times New Roman"/>
                <w:sz w:val="22"/>
                <w:szCs w:val="22"/>
                <w:color w:val="auto"/>
                <w:vertAlign w:val="superscript"/>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155,928,400</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left="14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15.2</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93"/>
        </w:trPr>
        <w:tc>
          <w:tcPr>
            <w:tcW w:w="5300" w:type="dxa"/>
            <w:vAlign w:val="bottom"/>
          </w:tcPr>
          <w:p>
            <w:pPr>
              <w:spacing w:after="0" w:line="192" w:lineRule="exact"/>
              <w:rPr>
                <w:sz w:val="20"/>
                <w:szCs w:val="20"/>
                <w:color w:val="auto"/>
              </w:rPr>
            </w:pPr>
            <w:r>
              <w:rPr>
                <w:rFonts w:ascii="Times New Roman" w:cs="Times New Roman" w:eastAsia="Times New Roman" w:hAnsi="Times New Roman"/>
                <w:sz w:val="15"/>
                <w:szCs w:val="15"/>
                <w:color w:val="auto"/>
              </w:rPr>
              <w:t>Wande Weirong Limited</w:t>
            </w:r>
            <w:r>
              <w:rPr>
                <w:rFonts w:ascii="Times New Roman" w:cs="Times New Roman" w:eastAsia="Times New Roman" w:hAnsi="Times New Roman"/>
                <w:sz w:val="22"/>
                <w:szCs w:val="22"/>
                <w:color w:val="auto"/>
                <w:vertAlign w:val="superscript"/>
              </w:rPr>
              <w:t>(3)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98,321,680</w:t>
            </w:r>
          </w:p>
        </w:tc>
        <w:tc>
          <w:tcPr>
            <w:tcW w:w="300" w:type="dxa"/>
            <w:vAlign w:val="bottom"/>
          </w:tcPr>
          <w:p>
            <w:pPr>
              <w:spacing w:after="0"/>
              <w:rPr>
                <w:sz w:val="16"/>
                <w:szCs w:val="16"/>
                <w:color w:val="auto"/>
              </w:rPr>
            </w:pPr>
          </w:p>
        </w:tc>
        <w:tc>
          <w:tcPr>
            <w:tcW w:w="1140" w:type="dxa"/>
            <w:vAlign w:val="bottom"/>
            <w:gridSpan w:val="2"/>
          </w:tcPr>
          <w:p>
            <w:pPr>
              <w:jc w:val="center"/>
              <w:ind w:left="14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9.6</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93"/>
        </w:trPr>
        <w:tc>
          <w:tcPr>
            <w:tcW w:w="53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5"/>
                <w:szCs w:val="15"/>
                <w:color w:val="auto"/>
              </w:rPr>
              <w:t>CDF Capital Insurtech Limited</w:t>
            </w:r>
            <w:r>
              <w:rPr>
                <w:rFonts w:ascii="Times New Roman" w:cs="Times New Roman" w:eastAsia="Times New Roman" w:hAnsi="Times New Roman"/>
                <w:sz w:val="22"/>
                <w:szCs w:val="22"/>
                <w:color w:val="auto"/>
                <w:vertAlign w:val="superscript"/>
              </w:rPr>
              <w:t>(4)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80,991,300</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left="14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7.9</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316"/>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Bodyguard Holding Limited</w:t>
            </w:r>
            <w:r>
              <w:rPr>
                <w:rFonts w:ascii="Times New Roman" w:cs="Times New Roman" w:eastAsia="Times New Roman" w:hAnsi="Times New Roman"/>
                <w:sz w:val="24"/>
                <w:szCs w:val="24"/>
                <w:color w:val="auto"/>
                <w:vertAlign w:val="superscript"/>
              </w:rPr>
              <w:t>(5)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55,110,084</w:t>
            </w:r>
          </w:p>
        </w:tc>
        <w:tc>
          <w:tcPr>
            <w:tcW w:w="300" w:type="dxa"/>
            <w:vAlign w:val="bottom"/>
          </w:tcPr>
          <w:p>
            <w:pPr>
              <w:spacing w:after="0"/>
              <w:rPr>
                <w:sz w:val="24"/>
                <w:szCs w:val="24"/>
                <w:color w:val="auto"/>
              </w:rPr>
            </w:pPr>
          </w:p>
        </w:tc>
        <w:tc>
          <w:tcPr>
            <w:tcW w:w="1140" w:type="dxa"/>
            <w:vAlign w:val="bottom"/>
            <w:gridSpan w:val="2"/>
          </w:tcPr>
          <w:p>
            <w:pPr>
              <w:jc w:val="center"/>
              <w:ind w:left="14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5.4</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5715</wp:posOffset>
            </wp:positionV>
            <wp:extent cx="68897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8975" cy="7620"/>
                    </a:xfrm>
                    <a:prstGeom prst="rect">
                      <a:avLst/>
                    </a:prstGeom>
                    <a:noFill/>
                  </pic:spPr>
                </pic:pic>
              </a:graphicData>
            </a:graphic>
          </wp:anchor>
        </w:drawing>
      </w:r>
    </w:p>
    <w:p>
      <w:pPr>
        <w:spacing w:after="0" w:line="21" w:lineRule="exact"/>
        <w:rPr>
          <w:sz w:val="20"/>
          <w:szCs w:val="20"/>
          <w:color w:val="auto"/>
        </w:rPr>
      </w:pPr>
    </w:p>
    <w:p>
      <w:pPr>
        <w:ind w:left="1100" w:hanging="393"/>
        <w:spacing w:after="0"/>
        <w:tabs>
          <w:tab w:leader="none" w:pos="110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 of our total common shares on an as-converted basis outstanding as of February 28, 2023.</w:t>
      </w:r>
    </w:p>
    <w:p>
      <w:pPr>
        <w:spacing w:after="0" w:line="25" w:lineRule="exact"/>
        <w:rPr>
          <w:sz w:val="20"/>
          <w:szCs w:val="20"/>
          <w:color w:val="auto"/>
        </w:rPr>
      </w:pPr>
    </w:p>
    <w:p>
      <w:pPr>
        <w:ind w:left="1100" w:right="160" w:hanging="393"/>
        <w:spacing w:after="0" w:line="251" w:lineRule="auto"/>
        <w:tabs>
          <w:tab w:leader="none" w:pos="110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indicated otherwise below, the business address of our directors and executive officers is 49/F, Building T1, Qianhai Financial Centre, Linhai Avenue, Qianhai Shenzhen-Hong Kong Cooperation Zone, Shenzhen 518000, People’s Republic of China.</w:t>
      </w:r>
    </w:p>
    <w:p>
      <w:pPr>
        <w:spacing w:after="0" w:line="1" w:lineRule="exact"/>
        <w:rPr>
          <w:sz w:val="20"/>
          <w:szCs w:val="20"/>
          <w:color w:val="auto"/>
        </w:rPr>
      </w:pPr>
    </w:p>
    <w:p>
      <w:pPr>
        <w:ind w:left="1100" w:right="20" w:hanging="393"/>
        <w:spacing w:after="0" w:line="251" w:lineRule="auto"/>
        <w:tabs>
          <w:tab w:leader="none" w:pos="110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of voting power is calculated by dividing the voting power beneficially owned by such person or group by the voting power of all of our Class A and Class B common shares as a single class. In respect of all matters subject to a shareholders’ vote, each Class A common share is entitled to one vote, and each Class B common share is entitled to 15 votes, voting together as a</w:t>
      </w:r>
    </w:p>
    <w:p>
      <w:pPr>
        <w:spacing w:after="0" w:line="1" w:lineRule="exact"/>
        <w:rPr>
          <w:sz w:val="20"/>
          <w:szCs w:val="20"/>
          <w:color w:val="auto"/>
        </w:rPr>
      </w:pPr>
    </w:p>
    <w:p>
      <w:pPr>
        <w:ind w:left="1100" w:right="260"/>
        <w:spacing w:after="0" w:line="251" w:lineRule="auto"/>
        <w:rPr>
          <w:sz w:val="20"/>
          <w:szCs w:val="20"/>
          <w:color w:val="auto"/>
        </w:rPr>
      </w:pPr>
      <w:r>
        <w:rPr>
          <w:rFonts w:ascii="Times New Roman" w:cs="Times New Roman" w:eastAsia="Times New Roman" w:hAnsi="Times New Roman"/>
          <w:sz w:val="16"/>
          <w:szCs w:val="16"/>
          <w:color w:val="auto"/>
        </w:rPr>
        <w:t>single class. Each Class B common share is convertible into one Class A common share at any time at the option of the holder thereof. Class A common shares are not convertible into Class B common shares under any circumstances.</w:t>
      </w:r>
    </w:p>
    <w:p>
      <w:pPr>
        <w:spacing w:after="0" w:line="1" w:lineRule="exact"/>
        <w:rPr>
          <w:sz w:val="20"/>
          <w:szCs w:val="20"/>
          <w:color w:val="auto"/>
        </w:rPr>
      </w:pPr>
    </w:p>
    <w:p>
      <w:pPr>
        <w:ind w:left="1100" w:hanging="393"/>
        <w:spacing w:after="0" w:line="251" w:lineRule="auto"/>
        <w:tabs>
          <w:tab w:leader="none" w:pos="11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10,018,366 Class A common shares issuable to Mr. Cunjun Ma upon exercise of options within 60 days after February 28, 2023; (ii) 10,190,660 Class A common shares in the form of ADSs held by Mr. Cunjun Ma; (iii) 150,591,207 Class B common shares directly held by Huidz Holding Limited, a company incorporated in British Virgin Islands that is ultimately controlled by QYRT Family Trust, a trust established under the laws of the British Virgin Islands and managed by HSBC International Trustee Limited as the trustee. Mr. Cunjun Ma is the settlor of the trust and his family member(s) are the trust’s beneficiaries. Mr. Cunjun Ma also has sole voting power to 137,153,306 Class A common shares held by other shareholders of our company, including Wande Weirong Limited, CDF Capital Insurtech Limited, Bodyguard Holding Limited, Tian Jin kun Zhi Enterprise management Limited, Kunlun Technology Limited, Jumi Holding Limited and One Mind Holding Limited.</w:t>
      </w:r>
    </w:p>
    <w:p>
      <w:pPr>
        <w:spacing w:after="0" w:line="2" w:lineRule="exact"/>
        <w:rPr>
          <w:rFonts w:ascii="Times New Roman" w:cs="Times New Roman" w:eastAsia="Times New Roman" w:hAnsi="Times New Roman"/>
          <w:sz w:val="16"/>
          <w:szCs w:val="16"/>
          <w:color w:val="auto"/>
        </w:rPr>
      </w:pPr>
    </w:p>
    <w:p>
      <w:pPr>
        <w:ind w:left="1100" w:right="60" w:hanging="393"/>
        <w:spacing w:after="0" w:line="251" w:lineRule="auto"/>
        <w:tabs>
          <w:tab w:leader="none" w:pos="11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statement on Schedule 13G/A filed on February 9, 2023, represents (i) 23,999,260 Class A common shares in the form of 1,199,963 ADSs and (ii) 131,929,140 Class A common shares, held by Crov Global Holding Limited, a company incorporated in the British Virgin Islands. Crov Global Holding Limited is wholly owned by Made-in-China.com LIMITED, which in turn is wholly owned by Focus Technology Co., Ltd., a company with its securities listed on Shenzhen Stock Exchange (stock code: 002315). Mr. Jinhua Shen is the controlling shareholder and chairperson of Focus Technology Co., Ltd. The registered address of Crov Global Holding Limited is Marcy Building, 2nd Floor, Purcell Estate, P.O. Box 2416 Road Town, Tortola, British Virgin Islands.</w:t>
      </w:r>
    </w:p>
    <w:p>
      <w:pPr>
        <w:spacing w:after="0" w:line="2" w:lineRule="exact"/>
        <w:rPr>
          <w:rFonts w:ascii="Times New Roman" w:cs="Times New Roman" w:eastAsia="Times New Roman" w:hAnsi="Times New Roman"/>
          <w:sz w:val="16"/>
          <w:szCs w:val="16"/>
          <w:color w:val="auto"/>
        </w:rPr>
      </w:pPr>
    </w:p>
    <w:p>
      <w:pPr>
        <w:ind w:left="1100" w:hanging="393"/>
        <w:spacing w:after="0" w:line="251" w:lineRule="auto"/>
        <w:tabs>
          <w:tab w:leader="none" w:pos="11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statement on Schedule 13G/A filed on February 11, 2021, and information provided by Wande Weirong Limited, represents 98,321,680 Class A common shares in the form of 4,916,084 ADSs held by Wande Weirong Limited, a company incorporated in the British Virgin Islands. Wande Weirong Limited is wholly owned by Jiaxing Weirong Investment Management Partnership (Limited Partnership), whose general partner is Wanrong Times Asset Management (Xuzhou) Co., Ltd. Beijing Wanrong Times Capital Management Co., Ltd. is the controlling shareholder of Wanrong Times Asset Management (Xuzhou) Co., Ltd. Mr. Jun Xiong is the controlling shareholder of Beijing Wanrong Times Capital Management Co., Ltd. Mr. Jun Xiong disclaims beneficial ownership of the shares held by Wande Weirong Limited, except to the extent of his pecuniary interests therein. The registered address of Wande Weirong Limited is Sea Meadow House, P.O. Box 116, Road Town, Tortola, British Virgin Islands. Wande Weirong Limited has, pursuant to certain irrevocable proxy and power of attorney, delegated the voting power of 5,565,380 Class A common shares to Mr. Cunjun Ma, our chairman and chief executive officer.</w:t>
      </w:r>
    </w:p>
    <w:p>
      <w:pPr>
        <w:spacing w:after="0" w:line="3" w:lineRule="exact"/>
        <w:rPr>
          <w:rFonts w:ascii="Times New Roman" w:cs="Times New Roman" w:eastAsia="Times New Roman" w:hAnsi="Times New Roman"/>
          <w:sz w:val="16"/>
          <w:szCs w:val="16"/>
          <w:color w:val="auto"/>
        </w:rPr>
      </w:pPr>
    </w:p>
    <w:p>
      <w:pPr>
        <w:ind w:left="1100" w:hanging="393"/>
        <w:spacing w:after="0" w:line="253" w:lineRule="auto"/>
        <w:tabs>
          <w:tab w:leader="none" w:pos="11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statement on Schedule 13G/A filed on February 11, 2021, represents 80,991,300 Class A common shares held by CDF Capital Insurtech Limited, a company incorporated in the British Virgin Islands. CDF Capital Insurtech Limited is wholly owned by Tianjin Chuangdongfang Enterprise Management Partnership (Limited Partnership), whose general partner is Mr. Ke Xiao. The registered address of CDF Capital Insurtech Limited is Commerce House, Wickhams Cay 1, P.O. Box 3140, Road Town, Tortola, British Virgin Islands VG1 110. CDF Capital Insurtech Limited has, pursuant to certain irrevocable proxy and power of attorney, delegated the voting power of 3,339,220 Class A common shares to Mr. Cunjun Ma, our chairman and chief executive officer.</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139</w:t>
      </w:r>
    </w:p>
    <w:p>
      <w:pPr>
        <w:sectPr>
          <w:pgSz w:w="11900" w:h="16838" w:orient="portrait"/>
          <w:cols w:equalWidth="0" w:num="1">
            <w:col w:w="10520"/>
          </w:cols>
          <w:pgMar w:left="320" w:top="447" w:right="10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1100" w:hanging="393"/>
        <w:spacing w:after="0" w:line="256" w:lineRule="auto"/>
        <w:tabs>
          <w:tab w:leader="none" w:pos="110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statement on Schedule 13G/A filed on February 14, 2023, represents 55,020,084 Class A common shares directly held by Bodyguard Holding Limited, an ESOP platform for the restricted share award of the Issuer or on behalf of certain director, and 800,000 Class A common shares held by Bodyguard Holding Limited in the form of ADSs. The restricted shares are granted to certain directors, management and key employees of the Issuer who are shareholders of Bodyguard Holding Limited. The sole voting power of these Class A common shares has been delegated to Mr. Cunjun Ma. See “Item 6. Directors, Senior Management and Employees—B. Compensation—Share Incentive Plans” for details. The address of Bodyguard Holding Limited is Commerce House, Wickhams Cay 1, P.O. Box 3140, Road Town, Tortola, British Virgin Islands VG1 110.</w:t>
      </w:r>
    </w:p>
    <w:p>
      <w:pPr>
        <w:spacing w:after="0" w:line="72" w:lineRule="exact"/>
        <w:rPr>
          <w:sz w:val="20"/>
          <w:szCs w:val="20"/>
          <w:color w:val="auto"/>
        </w:rPr>
      </w:pPr>
    </w:p>
    <w:p>
      <w:pPr>
        <w:jc w:val="both"/>
        <w:ind w:left="700" w:right="140" w:firstLine="393"/>
        <w:spacing w:after="0" w:line="267" w:lineRule="auto"/>
        <w:rPr>
          <w:sz w:val="20"/>
          <w:szCs w:val="20"/>
          <w:color w:val="auto"/>
        </w:rPr>
      </w:pPr>
      <w:r>
        <w:rPr>
          <w:rFonts w:ascii="Times New Roman" w:cs="Times New Roman" w:eastAsia="Times New Roman" w:hAnsi="Times New Roman"/>
          <w:sz w:val="16"/>
          <w:szCs w:val="16"/>
          <w:color w:val="auto"/>
        </w:rPr>
        <w:t>To our knowledge, as of February 28, 2023, 611,423,760 of our common shares were held by one record holder in the United States, which was Citibank N.A., the depositary of our ADS program. The number of beneficial owners of our ADSs in the United States is likely to be much larger than the number of record holders of our common shares in the United States.</w:t>
      </w:r>
    </w:p>
    <w:p>
      <w:pPr>
        <w:spacing w:after="0" w:line="157" w:lineRule="exact"/>
        <w:rPr>
          <w:sz w:val="20"/>
          <w:szCs w:val="20"/>
          <w:color w:val="auto"/>
        </w:rPr>
      </w:pPr>
    </w:p>
    <w:p>
      <w:pPr>
        <w:ind w:left="700" w:right="120" w:firstLine="393"/>
        <w:spacing w:after="0" w:line="284" w:lineRule="auto"/>
        <w:rPr>
          <w:sz w:val="20"/>
          <w:szCs w:val="20"/>
          <w:color w:val="auto"/>
        </w:rPr>
      </w:pPr>
      <w:r>
        <w:rPr>
          <w:rFonts w:ascii="Times New Roman" w:cs="Times New Roman" w:eastAsia="Times New Roman" w:hAnsi="Times New Roman"/>
          <w:sz w:val="16"/>
          <w:szCs w:val="16"/>
          <w:color w:val="auto"/>
        </w:rPr>
        <w:t>Our common shares are divided into Class A common shares and Class B common shares. Holders of Class A common shares are entitled to one vote per share, while holders of Class B common shares are entitled to fifteen votes per share.</w:t>
      </w:r>
    </w:p>
    <w:p>
      <w:pPr>
        <w:spacing w:after="0" w:line="1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We are not aware of any arrangement that may, at a subsequent date, result in a change of control of our company.</w:t>
      </w:r>
    </w:p>
    <w:p>
      <w:pPr>
        <w:spacing w:after="0" w:line="332" w:lineRule="exact"/>
        <w:rPr>
          <w:sz w:val="20"/>
          <w:szCs w:val="20"/>
          <w:color w:val="auto"/>
        </w:rPr>
      </w:pPr>
    </w:p>
    <w:p>
      <w:pPr>
        <w:ind w:left="1100" w:right="3700" w:hanging="393"/>
        <w:spacing w:after="0" w:line="412" w:lineRule="auto"/>
        <w:tabs>
          <w:tab w:leader="none" w:pos="1092"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Disclosure of a Registrant’s Action to Recover Erroneously Awarded Compensation </w:t>
      </w:r>
      <w:r>
        <w:rPr>
          <w:rFonts w:ascii="Times New Roman" w:cs="Times New Roman" w:eastAsia="Times New Roman" w:hAnsi="Times New Roman"/>
          <w:sz w:val="16"/>
          <w:szCs w:val="16"/>
          <w:color w:val="auto"/>
        </w:rPr>
        <w:t>Not applicable.</w:t>
      </w:r>
    </w:p>
    <w:p>
      <w:pPr>
        <w:spacing w:after="0" w:line="176"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5"/>
          <w:szCs w:val="15"/>
          <w:b w:val="1"/>
          <w:bCs w:val="1"/>
          <w:color w:val="auto"/>
        </w:rPr>
        <w:t>MAJOR SHAREHOLDERS AND RELATED PARTY TRANSACTIONS</w:t>
      </w:r>
    </w:p>
    <w:p>
      <w:pPr>
        <w:spacing w:after="0" w:line="117" w:lineRule="exact"/>
        <w:rPr>
          <w:sz w:val="20"/>
          <w:szCs w:val="20"/>
          <w:color w:val="auto"/>
        </w:rPr>
      </w:pPr>
    </w:p>
    <w:p>
      <w:pPr>
        <w:ind w:left="1100" w:hanging="393"/>
        <w:spacing w:after="0"/>
        <w:tabs>
          <w:tab w:leader="none" w:pos="1100"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Major Shareholders</w:t>
      </w:r>
    </w:p>
    <w:p>
      <w:pPr>
        <w:spacing w:after="0" w:line="107" w:lineRule="exact"/>
        <w:rPr>
          <w:rFonts w:ascii="Times New Roman" w:cs="Times New Roman" w:eastAsia="Times New Roman" w:hAnsi="Times New Roman"/>
          <w:sz w:val="16"/>
          <w:szCs w:val="16"/>
          <w:b w:val="1"/>
          <w:bCs w:val="1"/>
          <w:color w:val="auto"/>
        </w:rPr>
      </w:pPr>
    </w:p>
    <w:p>
      <w:pPr>
        <w:ind w:left="11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See “Item 6. Directors, Senior Management and Employees—E. Share Ownership.”</w:t>
      </w:r>
    </w:p>
    <w:p>
      <w:pPr>
        <w:spacing w:after="0" w:line="332" w:lineRule="exact"/>
        <w:rPr>
          <w:rFonts w:ascii="Times New Roman" w:cs="Times New Roman" w:eastAsia="Times New Roman" w:hAnsi="Times New Roman"/>
          <w:sz w:val="16"/>
          <w:szCs w:val="16"/>
          <w:b w:val="1"/>
          <w:bCs w:val="1"/>
          <w:color w:val="auto"/>
        </w:rPr>
      </w:pPr>
    </w:p>
    <w:p>
      <w:pPr>
        <w:ind w:left="1100" w:hanging="393"/>
        <w:spacing w:after="0"/>
        <w:tabs>
          <w:tab w:leader="none" w:pos="1100"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Party Transactions</w:t>
      </w:r>
    </w:p>
    <w:p>
      <w:pPr>
        <w:spacing w:after="0" w:line="2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Contractual Arrangements with The VIE and Its Shareholders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See “Item 4. Information on the Company—C. Organizational Structure.”</w:t>
      </w:r>
    </w:p>
    <w:p>
      <w:pPr>
        <w:spacing w:after="0" w:line="2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Shareholders Agreement and Registration Rights</w:t>
      </w:r>
    </w:p>
    <w:p>
      <w:pPr>
        <w:spacing w:after="0" w:line="107" w:lineRule="exact"/>
        <w:rPr>
          <w:sz w:val="20"/>
          <w:szCs w:val="20"/>
          <w:color w:val="auto"/>
        </w:rPr>
      </w:pPr>
    </w:p>
    <w:p>
      <w:pPr>
        <w:ind w:left="700" w:right="100" w:firstLine="393"/>
        <w:spacing w:after="0" w:line="262" w:lineRule="auto"/>
        <w:rPr>
          <w:sz w:val="20"/>
          <w:szCs w:val="20"/>
          <w:color w:val="auto"/>
        </w:rPr>
      </w:pPr>
      <w:r>
        <w:rPr>
          <w:rFonts w:ascii="Times New Roman" w:cs="Times New Roman" w:eastAsia="Times New Roman" w:hAnsi="Times New Roman"/>
          <w:sz w:val="16"/>
          <w:szCs w:val="16"/>
          <w:color w:val="auto"/>
        </w:rPr>
        <w:t>We entered into a shareholders agreement with our shareholders on June 4, 2019, that provides for certain shareholders’ rights, including registration rights, information and inspection rights, right of participation, right of first refusal and right of co-sale, and contains provisions governing our board of directors and other corporate governance matters. Such shareholder rights and corporate governance provisions, other than the registration rights, automatically terminated upon the completion of our initial public offering.</w:t>
      </w:r>
    </w:p>
    <w:p>
      <w:pPr>
        <w:spacing w:after="0" w:line="1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Set forth below is a description of the registration rights granted under the shareholders agreement that survives our initial public offering.</w:t>
      </w:r>
    </w:p>
    <w:p>
      <w:pPr>
        <w:spacing w:after="0" w:line="2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Demand Registration Rights</w:t>
      </w:r>
    </w:p>
    <w:p>
      <w:pPr>
        <w:spacing w:after="0" w:line="109" w:lineRule="exact"/>
        <w:rPr>
          <w:sz w:val="20"/>
          <w:szCs w:val="20"/>
          <w:color w:val="auto"/>
        </w:rPr>
      </w:pPr>
    </w:p>
    <w:p>
      <w:pPr>
        <w:ind w:left="700" w:right="180" w:firstLine="393"/>
        <w:spacing w:after="0" w:line="255" w:lineRule="auto"/>
        <w:rPr>
          <w:sz w:val="20"/>
          <w:szCs w:val="20"/>
          <w:color w:val="auto"/>
        </w:rPr>
      </w:pPr>
      <w:r>
        <w:rPr>
          <w:rFonts w:ascii="Times New Roman" w:cs="Times New Roman" w:eastAsia="Times New Roman" w:hAnsi="Times New Roman"/>
          <w:sz w:val="16"/>
          <w:szCs w:val="16"/>
          <w:color w:val="auto"/>
        </w:rPr>
        <w:t>Holders of at least 33% of the registrable securities then outstanding have the right to demand that we file a registration statement covering the registrable securities that the holders request to be registered. We have the right to defer filing of a registration statement for a period of not more than ninety (90) days after the receipt of the request of the initiating holders if we furnish to the holders requesting registration a certificate signed by our president or chief executive officer stating that in the good faith judgment of our board of directors, it would be materially detrimental to us and our shareholders for such registration statement to be filed at such time. However, we cannot exercise the deferral right for a period more than ninety</w:t>
      </w:r>
    </w:p>
    <w:p>
      <w:pPr>
        <w:spacing w:after="0" w:line="3" w:lineRule="exact"/>
        <w:rPr>
          <w:sz w:val="20"/>
          <w:szCs w:val="20"/>
          <w:color w:val="auto"/>
        </w:rPr>
      </w:pPr>
    </w:p>
    <w:p>
      <w:pPr>
        <w:ind w:left="700" w:right="60" w:firstLine="7"/>
        <w:spacing w:after="0" w:line="263" w:lineRule="auto"/>
        <w:tabs>
          <w:tab w:leader="none" w:pos="1008"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after receipt of the request of the holder. We are obligated to effect no more than three demand registrations, other than demand registration to be effected pursuant to registration statement on Form F-3, for which an unlimited number of demand registrations shall be permitted.</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140</w:t>
      </w:r>
    </w:p>
    <w:p>
      <w:pPr>
        <w:sectPr>
          <w:pgSz w:w="11900" w:h="16838" w:orient="portrait"/>
          <w:cols w:equalWidth="0" w:num="1">
            <w:col w:w="10520"/>
          </w:cols>
          <w:pgMar w:left="320" w:top="447" w:right="10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Piggyback Registration Rights</w:t>
      </w:r>
    </w:p>
    <w:p>
      <w:pPr>
        <w:spacing w:after="0" w:line="109"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If we propose to file a registration statement for a public offering of our securities, we must offer our shareholders an opportunity to include in the registration all or any part of the registrable securities held by such holders. If the managing underwriters of any underwritten offering determine in good faith that marketing factors require a limitation of the number of shares to be underwritten, and the number of shares that may be included in the registration and the underwriting shall be allocated first, to us, second, to each of the holders requesting inclusion of their registrable securities in a registration statement on a pro rata basis based on the total number of shares of registrable securities then held by each such holder, and third, to holders of our other securities.</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Form F-3 Registration Rights</w:t>
      </w:r>
    </w:p>
    <w:p>
      <w:pPr>
        <w:spacing w:after="0" w:line="109" w:lineRule="exact"/>
        <w:rPr>
          <w:sz w:val="20"/>
          <w:szCs w:val="20"/>
          <w:color w:val="auto"/>
        </w:rPr>
      </w:pPr>
    </w:p>
    <w:p>
      <w:pPr>
        <w:ind w:left="700" w:right="640" w:firstLine="393"/>
        <w:spacing w:after="0" w:line="284" w:lineRule="auto"/>
        <w:rPr>
          <w:sz w:val="20"/>
          <w:szCs w:val="20"/>
          <w:color w:val="auto"/>
        </w:rPr>
      </w:pPr>
      <w:r>
        <w:rPr>
          <w:rFonts w:ascii="Times New Roman" w:cs="Times New Roman" w:eastAsia="Times New Roman" w:hAnsi="Times New Roman"/>
          <w:sz w:val="16"/>
          <w:szCs w:val="16"/>
          <w:color w:val="auto"/>
        </w:rPr>
        <w:t>Holders of at least 33% of the registrable securities then outstanding may request us in writing to file an unlimited number of registration statements on Form F-3. We shall effect the registration of the securities on Form F-3 as soon as practicable, except in certain circumstances.</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Expenses of Registration</w:t>
      </w:r>
    </w:p>
    <w:p>
      <w:pPr>
        <w:spacing w:after="0" w:line="109" w:lineRule="exact"/>
        <w:rPr>
          <w:sz w:val="20"/>
          <w:szCs w:val="20"/>
          <w:color w:val="auto"/>
        </w:rPr>
      </w:pPr>
    </w:p>
    <w:p>
      <w:pPr>
        <w:ind w:left="700" w:right="60" w:firstLine="393"/>
        <w:spacing w:after="0" w:line="258" w:lineRule="auto"/>
        <w:rPr>
          <w:sz w:val="20"/>
          <w:szCs w:val="20"/>
          <w:color w:val="auto"/>
        </w:rPr>
      </w:pPr>
      <w:r>
        <w:rPr>
          <w:rFonts w:ascii="Times New Roman" w:cs="Times New Roman" w:eastAsia="Times New Roman" w:hAnsi="Times New Roman"/>
          <w:sz w:val="16"/>
          <w:szCs w:val="16"/>
          <w:color w:val="auto"/>
        </w:rPr>
        <w:t>We will pay all expenses, other than the underwriting discounts and selling commissions applicable to the sale of registrable securities pursuant to the registration rights (which will be borne by the holders requesting registration on a pro rata basis in proportion to their respective numbers of registrable securities sold in such registration), incurred in connection with registrations, filings or qualifications pursuant to the registration rights, including all registration, filing and qualification fees, printers’ and accounting fees, fees and disbursements of counsel for us and reasonable fees and disbursement of one counsel for all selling holders. However, we are not obligated to pay any expenses of any registration proceeding if the registration request is subsequently withdrawn at the request of a majority-in-interest of the holders requesting such registration.</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Termination of Obligations</w:t>
      </w:r>
    </w:p>
    <w:p>
      <w:pPr>
        <w:spacing w:after="0" w:line="109" w:lineRule="exact"/>
        <w:rPr>
          <w:sz w:val="20"/>
          <w:szCs w:val="20"/>
          <w:color w:val="auto"/>
        </w:rPr>
      </w:pPr>
    </w:p>
    <w:p>
      <w:pPr>
        <w:jc w:val="both"/>
        <w:ind w:left="700" w:right="500" w:firstLine="393"/>
        <w:spacing w:after="0" w:line="267" w:lineRule="auto"/>
        <w:rPr>
          <w:sz w:val="20"/>
          <w:szCs w:val="20"/>
          <w:color w:val="auto"/>
        </w:rPr>
      </w:pPr>
      <w:r>
        <w:rPr>
          <w:rFonts w:ascii="Times New Roman" w:cs="Times New Roman" w:eastAsia="Times New Roman" w:hAnsi="Times New Roman"/>
          <w:sz w:val="16"/>
          <w:szCs w:val="16"/>
          <w:color w:val="auto"/>
        </w:rPr>
        <w:t>The registration rights set forth above will terminate on the earlier of (i) the date that is five years after the date of closing our initial public offering, which was February 12, 2020, and (ii) with respect to any holder, the date on which such holder may sell all of such holder’s registrable securities under Rule 144 of the Securities Act in any ninety-day period.</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See “Item 6. Directors, Senior Management and Employees—B. Compensation—Employment Agreements and Indemnification Agreements.”</w:t>
      </w:r>
    </w:p>
    <w:p>
      <w:pPr>
        <w:spacing w:after="0" w:line="2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Share Incentive Plans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See “Item 6. Directors, Senior Management and Employees—B. Compensation—Share Incentive Plans.”</w:t>
      </w:r>
    </w:p>
    <w:p>
      <w:pPr>
        <w:spacing w:after="0" w:line="2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Other Transactions with Related Parties</w:t>
      </w:r>
    </w:p>
    <w:p>
      <w:pPr>
        <w:spacing w:after="0" w:line="107" w:lineRule="exact"/>
        <w:rPr>
          <w:sz w:val="20"/>
          <w:szCs w:val="20"/>
          <w:color w:val="auto"/>
        </w:rPr>
      </w:pPr>
    </w:p>
    <w:p>
      <w:pPr>
        <w:ind w:left="700" w:right="20" w:firstLine="393"/>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2021, Xiaoke Huixuan (Shenzhen) Technology Co., Ltd., a company that we have significant influence on, provided technology services to our company. As of December 31, 2022, we had service fee due to Xiaoke Huixuan (Shenzhen) Technology Co., Ltd. of RMB495 thousand. As of December 31, 2022, we had RMB489 thousand due from shareholders, which represented the advance miscellaneous fees of RMB149 thousand for shareholders, and the advance service fees of RMB340 thousand for Huibao Huipei (Shenzhen) Technology Co., Ltd, a company that we have significant influence over.</w:t>
      </w:r>
    </w:p>
    <w:p>
      <w:pPr>
        <w:spacing w:after="0" w:line="295" w:lineRule="exact"/>
        <w:rPr>
          <w:sz w:val="20"/>
          <w:szCs w:val="20"/>
          <w:color w:val="auto"/>
        </w:rPr>
      </w:pPr>
    </w:p>
    <w:p>
      <w:pPr>
        <w:ind w:left="1180" w:hanging="473"/>
        <w:spacing w:after="0"/>
        <w:tabs>
          <w:tab w:leader="none" w:pos="1180"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Interests of Experts and Counsel</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Not applicable.</w:t>
      </w:r>
    </w:p>
    <w:p>
      <w:pPr>
        <w:spacing w:after="0" w:line="332"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INFORMATION</w:t>
      </w:r>
    </w:p>
    <w:p>
      <w:pPr>
        <w:spacing w:after="0" w:line="117" w:lineRule="exact"/>
        <w:rPr>
          <w:sz w:val="20"/>
          <w:szCs w:val="20"/>
          <w:color w:val="auto"/>
        </w:rPr>
      </w:pPr>
    </w:p>
    <w:p>
      <w:pPr>
        <w:ind w:left="1100" w:hanging="393"/>
        <w:spacing w:after="0"/>
        <w:tabs>
          <w:tab w:leader="none" w:pos="1100"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Consolidated Statements and Other Financial Information</w:t>
      </w:r>
    </w:p>
    <w:p>
      <w:pPr>
        <w:spacing w:after="0" w:line="107" w:lineRule="exact"/>
        <w:rPr>
          <w:rFonts w:ascii="Times New Roman" w:cs="Times New Roman" w:eastAsia="Times New Roman" w:hAnsi="Times New Roman"/>
          <w:sz w:val="16"/>
          <w:szCs w:val="16"/>
          <w:b w:val="1"/>
          <w:bCs w:val="1"/>
          <w:color w:val="auto"/>
        </w:rPr>
      </w:pPr>
    </w:p>
    <w:p>
      <w:pPr>
        <w:ind w:left="11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We have appended consolidated financial statements filed as part of this annual report.</w:t>
      </w:r>
    </w:p>
    <w:p>
      <w:pPr>
        <w:spacing w:after="0" w:line="1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141</w:t>
      </w:r>
    </w:p>
    <w:p>
      <w:pPr>
        <w:sectPr>
          <w:pgSz w:w="11900" w:h="16838" w:orient="portrait"/>
          <w:cols w:equalWidth="0" w:num="1">
            <w:col w:w="10540"/>
          </w:cols>
          <w:pgMar w:left="320" w:top="447" w:right="10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07" w:lineRule="exact"/>
        <w:rPr>
          <w:sz w:val="20"/>
          <w:szCs w:val="20"/>
          <w:color w:val="auto"/>
        </w:rPr>
      </w:pPr>
    </w:p>
    <w:p>
      <w:pPr>
        <w:ind w:left="700" w:right="200" w:firstLine="393"/>
        <w:spacing w:after="0" w:line="267" w:lineRule="auto"/>
        <w:rPr>
          <w:sz w:val="20"/>
          <w:szCs w:val="20"/>
          <w:color w:val="auto"/>
        </w:rPr>
      </w:pPr>
      <w:r>
        <w:rPr>
          <w:rFonts w:ascii="Times New Roman" w:cs="Times New Roman" w:eastAsia="Times New Roman" w:hAnsi="Times New Roman"/>
          <w:sz w:val="16"/>
          <w:szCs w:val="16"/>
          <w:color w:val="auto"/>
        </w:rPr>
        <w:t>We are currently not involved in any material legal or administrative proceedings. From time to time, we may be subject to various legal or administrative claims and proceedings arising in the ordinary course of business. Such legal or administrative claims and proceedings, even if without merit, could result in the expenditure of financial and management resources and potentially result in civil liability for damages.</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07" w:lineRule="exact"/>
        <w:rPr>
          <w:sz w:val="20"/>
          <w:szCs w:val="20"/>
          <w:color w:val="auto"/>
        </w:rPr>
      </w:pPr>
    </w:p>
    <w:p>
      <w:pPr>
        <w:ind w:left="700" w:right="100" w:firstLine="393"/>
        <w:spacing w:after="0" w:line="256" w:lineRule="auto"/>
        <w:rPr>
          <w:sz w:val="20"/>
          <w:szCs w:val="20"/>
          <w:color w:val="auto"/>
        </w:rPr>
      </w:pPr>
      <w:r>
        <w:rPr>
          <w:rFonts w:ascii="Times New Roman" w:cs="Times New Roman" w:eastAsia="Times New Roman" w:hAnsi="Times New Roman"/>
          <w:sz w:val="16"/>
          <w:szCs w:val="16"/>
          <w:color w:val="auto"/>
        </w:rPr>
        <w:t>Our board of directors has discretion as to whether to declare dividends subject to certain requirements of the Companies Act. Our articles of association provides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65" w:lineRule="exact"/>
        <w:rPr>
          <w:sz w:val="20"/>
          <w:szCs w:val="20"/>
          <w:color w:val="auto"/>
        </w:rPr>
      </w:pPr>
    </w:p>
    <w:p>
      <w:pPr>
        <w:ind w:left="700" w:right="100" w:firstLine="393"/>
        <w:spacing w:after="0" w:line="284" w:lineRule="auto"/>
        <w:rPr>
          <w:sz w:val="20"/>
          <w:szCs w:val="20"/>
          <w:color w:val="auto"/>
        </w:rPr>
      </w:pPr>
      <w:r>
        <w:rPr>
          <w:rFonts w:ascii="Times New Roman" w:cs="Times New Roman" w:eastAsia="Times New Roman" w:hAnsi="Times New Roman"/>
          <w:sz w:val="16"/>
          <w:szCs w:val="16"/>
          <w:color w:val="auto"/>
        </w:rPr>
        <w:t>We do not have any present plan to pay any cash dividends on our common shares in the foreseeable future. We currently intend to retain most, if not all, of our available funds and any future earnings to operate and expand our business.</w:t>
      </w:r>
    </w:p>
    <w:p>
      <w:pPr>
        <w:spacing w:after="0" w:line="143" w:lineRule="exact"/>
        <w:rPr>
          <w:sz w:val="20"/>
          <w:szCs w:val="20"/>
          <w:color w:val="auto"/>
        </w:rPr>
      </w:pPr>
    </w:p>
    <w:p>
      <w:pPr>
        <w:ind w:left="700" w:right="20" w:firstLine="393"/>
        <w:spacing w:after="0" w:line="267" w:lineRule="auto"/>
        <w:rPr>
          <w:sz w:val="20"/>
          <w:szCs w:val="20"/>
          <w:color w:val="auto"/>
        </w:rPr>
      </w:pPr>
      <w:r>
        <w:rPr>
          <w:rFonts w:ascii="Times New Roman" w:cs="Times New Roman" w:eastAsia="Times New Roman" w:hAnsi="Times New Roman"/>
          <w:sz w:val="16"/>
          <w:szCs w:val="16"/>
          <w:color w:val="auto"/>
        </w:rPr>
        <w:t>We are a holding company incorporated in the Cayman Islands. We may rely on dividends from our subsidiaries in China for our cash requirements, including any payment of dividends to our shareholders. PRC regulations may restrict the ability of our WFOE to pay dividends to us. See “Item 4. Information on the Company—B. Business Overview—Regulations on Foreign Exchange.”</w:t>
      </w:r>
    </w:p>
    <w:p>
      <w:pPr>
        <w:spacing w:after="0" w:line="157"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If we pay any dividends on our common shares, we will pay those dividends which are payable in respect of the common shares underlying the ADSs to the depositary, as the registered holder of such common shares, and the depositary then will pay such amounts to the ADS holders in proportion to the common shares underlying the ADSs held by such ADS holders, subject to the terms of the deposit agreement, including the fees and expenses payable thereunder. See “Item 12. Description of Securities other than Equity Securities—D. American Depositary Shares.” Cash dividends on our common shares, if any, will be paid in U.S. dollars.</w:t>
      </w:r>
    </w:p>
    <w:p>
      <w:pPr>
        <w:spacing w:after="0" w:line="295" w:lineRule="exact"/>
        <w:rPr>
          <w:sz w:val="20"/>
          <w:szCs w:val="20"/>
          <w:color w:val="auto"/>
        </w:rPr>
      </w:pPr>
    </w:p>
    <w:p>
      <w:pPr>
        <w:ind w:left="1100" w:hanging="393"/>
        <w:spacing w:after="0"/>
        <w:tabs>
          <w:tab w:leader="none" w:pos="1100"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Changes</w:t>
      </w:r>
    </w:p>
    <w:p>
      <w:pPr>
        <w:spacing w:after="0" w:line="107" w:lineRule="exact"/>
        <w:rPr>
          <w:sz w:val="20"/>
          <w:szCs w:val="20"/>
          <w:color w:val="auto"/>
        </w:rPr>
      </w:pPr>
    </w:p>
    <w:p>
      <w:pPr>
        <w:ind w:left="700" w:right="240" w:firstLine="393"/>
        <w:spacing w:after="0" w:line="284" w:lineRule="auto"/>
        <w:rPr>
          <w:sz w:val="20"/>
          <w:szCs w:val="20"/>
          <w:color w:val="auto"/>
        </w:rPr>
      </w:pPr>
      <w:r>
        <w:rPr>
          <w:rFonts w:ascii="Times New Roman" w:cs="Times New Roman" w:eastAsia="Times New Roman" w:hAnsi="Times New Roman"/>
          <w:sz w:val="16"/>
          <w:szCs w:val="16"/>
          <w:color w:val="auto"/>
        </w:rPr>
        <w:t>Except as disclosed elsewhere in this annual report, we have not experienced any significant changes since the date of our audited consolidated financial statements included in this annual report.</w:t>
      </w:r>
    </w:p>
    <w:p>
      <w:pPr>
        <w:spacing w:after="0" w:line="274"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THE OFFER AND LISTING</w:t>
      </w:r>
    </w:p>
    <w:p>
      <w:pPr>
        <w:spacing w:after="0" w:line="117" w:lineRule="exact"/>
        <w:rPr>
          <w:sz w:val="20"/>
          <w:szCs w:val="20"/>
          <w:color w:val="auto"/>
        </w:rPr>
      </w:pPr>
    </w:p>
    <w:p>
      <w:pPr>
        <w:ind w:left="1100" w:hanging="393"/>
        <w:spacing w:after="0"/>
        <w:tabs>
          <w:tab w:leader="none" w:pos="1100"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Offering and Listing Details</w:t>
      </w:r>
    </w:p>
    <w:p>
      <w:pPr>
        <w:spacing w:after="0" w:line="107" w:lineRule="exact"/>
        <w:rPr>
          <w:sz w:val="20"/>
          <w:szCs w:val="20"/>
          <w:color w:val="auto"/>
        </w:rPr>
      </w:pPr>
    </w:p>
    <w:p>
      <w:pPr>
        <w:ind w:left="700" w:right="460" w:firstLine="393"/>
        <w:spacing w:after="0" w:line="284" w:lineRule="auto"/>
        <w:rPr>
          <w:sz w:val="20"/>
          <w:szCs w:val="20"/>
          <w:color w:val="auto"/>
        </w:rPr>
      </w:pPr>
      <w:r>
        <w:rPr>
          <w:rFonts w:ascii="Times New Roman" w:cs="Times New Roman" w:eastAsia="Times New Roman" w:hAnsi="Times New Roman"/>
          <w:sz w:val="16"/>
          <w:szCs w:val="16"/>
          <w:color w:val="auto"/>
        </w:rPr>
        <w:t>Our ADSs, each representing 20 Class A common shares, have been listed on the Nasdaq Global Market since February 11, 2020, under the symbol “HUIZ.”</w:t>
      </w:r>
    </w:p>
    <w:p>
      <w:pPr>
        <w:spacing w:after="0" w:line="274" w:lineRule="exact"/>
        <w:rPr>
          <w:sz w:val="20"/>
          <w:szCs w:val="20"/>
          <w:color w:val="auto"/>
        </w:rPr>
      </w:pPr>
    </w:p>
    <w:p>
      <w:pPr>
        <w:ind w:left="1100" w:right="8080" w:hanging="393"/>
        <w:spacing w:after="0" w:line="412" w:lineRule="auto"/>
        <w:tabs>
          <w:tab w:leader="none" w:pos="1092"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Plan of Distribution </w:t>
      </w:r>
      <w:r>
        <w:rPr>
          <w:rFonts w:ascii="Times New Roman" w:cs="Times New Roman" w:eastAsia="Times New Roman" w:hAnsi="Times New Roman"/>
          <w:sz w:val="16"/>
          <w:szCs w:val="16"/>
          <w:color w:val="auto"/>
        </w:rPr>
        <w:t>Not applicable.</w:t>
      </w:r>
    </w:p>
    <w:p>
      <w:pPr>
        <w:spacing w:after="0" w:line="175" w:lineRule="exact"/>
        <w:rPr>
          <w:rFonts w:ascii="Times New Roman" w:cs="Times New Roman" w:eastAsia="Times New Roman" w:hAnsi="Times New Roman"/>
          <w:sz w:val="16"/>
          <w:szCs w:val="16"/>
          <w:b w:val="1"/>
          <w:bCs w:val="1"/>
          <w:color w:val="auto"/>
        </w:rPr>
      </w:pPr>
    </w:p>
    <w:p>
      <w:pPr>
        <w:ind w:left="1100" w:hanging="393"/>
        <w:spacing w:after="0"/>
        <w:tabs>
          <w:tab w:leader="none" w:pos="1100"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Markets</w:t>
      </w:r>
    </w:p>
    <w:p>
      <w:pPr>
        <w:spacing w:after="0" w:line="107" w:lineRule="exact"/>
        <w:rPr>
          <w:sz w:val="20"/>
          <w:szCs w:val="20"/>
          <w:color w:val="auto"/>
        </w:rPr>
      </w:pPr>
    </w:p>
    <w:p>
      <w:pPr>
        <w:ind w:left="700" w:right="460" w:firstLine="393"/>
        <w:spacing w:after="0" w:line="284" w:lineRule="auto"/>
        <w:rPr>
          <w:sz w:val="20"/>
          <w:szCs w:val="20"/>
          <w:color w:val="auto"/>
        </w:rPr>
      </w:pPr>
      <w:r>
        <w:rPr>
          <w:rFonts w:ascii="Times New Roman" w:cs="Times New Roman" w:eastAsia="Times New Roman" w:hAnsi="Times New Roman"/>
          <w:sz w:val="16"/>
          <w:szCs w:val="16"/>
          <w:color w:val="auto"/>
        </w:rPr>
        <w:t>Our ADSs, each representing 20 Class A common shares, have been listed on the Nasdaq Global Market since February 11, 2020, under the symbol “HUIZ.”</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142</w:t>
      </w:r>
    </w:p>
    <w:p>
      <w:pPr>
        <w:sectPr>
          <w:pgSz w:w="11900" w:h="16838" w:orient="portrait"/>
          <w:cols w:equalWidth="0" w:num="1">
            <w:col w:w="10540"/>
          </w:cols>
          <w:pgMar w:left="320" w:top="447" w:right="10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1100" w:right="7980" w:hanging="393"/>
        <w:spacing w:after="0" w:line="456" w:lineRule="auto"/>
        <w:tabs>
          <w:tab w:leader="none" w:pos="1092" w:val="left"/>
        </w:tabs>
        <w:numPr>
          <w:ilvl w:val="0"/>
          <w:numId w:val="1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Selling Shareholders </w:t>
      </w:r>
      <w:r>
        <w:rPr>
          <w:rFonts w:ascii="Times New Roman" w:cs="Times New Roman" w:eastAsia="Times New Roman" w:hAnsi="Times New Roman"/>
          <w:sz w:val="15"/>
          <w:szCs w:val="15"/>
          <w:color w:val="auto"/>
        </w:rPr>
        <w:t>Not applicable.</w:t>
      </w:r>
    </w:p>
    <w:p>
      <w:pPr>
        <w:spacing w:after="0" w:line="151" w:lineRule="exact"/>
        <w:rPr>
          <w:rFonts w:ascii="Times New Roman" w:cs="Times New Roman" w:eastAsia="Times New Roman" w:hAnsi="Times New Roman"/>
          <w:sz w:val="15"/>
          <w:szCs w:val="15"/>
          <w:b w:val="1"/>
          <w:bCs w:val="1"/>
          <w:color w:val="auto"/>
        </w:rPr>
      </w:pPr>
    </w:p>
    <w:p>
      <w:pPr>
        <w:ind w:left="1100" w:hanging="393"/>
        <w:spacing w:after="0"/>
        <w:tabs>
          <w:tab w:leader="none" w:pos="1100"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Dilution</w:t>
      </w:r>
    </w:p>
    <w:p>
      <w:pPr>
        <w:spacing w:after="0" w:line="107" w:lineRule="exact"/>
        <w:rPr>
          <w:rFonts w:ascii="Times New Roman" w:cs="Times New Roman" w:eastAsia="Times New Roman" w:hAnsi="Times New Roman"/>
          <w:sz w:val="16"/>
          <w:szCs w:val="16"/>
          <w:b w:val="1"/>
          <w:bCs w:val="1"/>
          <w:color w:val="auto"/>
        </w:rPr>
      </w:pPr>
    </w:p>
    <w:p>
      <w:pPr>
        <w:ind w:left="11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 applicable.</w:t>
      </w:r>
    </w:p>
    <w:p>
      <w:pPr>
        <w:spacing w:after="0" w:line="332" w:lineRule="exact"/>
        <w:rPr>
          <w:rFonts w:ascii="Times New Roman" w:cs="Times New Roman" w:eastAsia="Times New Roman" w:hAnsi="Times New Roman"/>
          <w:sz w:val="16"/>
          <w:szCs w:val="16"/>
          <w:b w:val="1"/>
          <w:bCs w:val="1"/>
          <w:color w:val="auto"/>
        </w:rPr>
      </w:pPr>
    </w:p>
    <w:p>
      <w:pPr>
        <w:ind w:left="1100" w:right="7940" w:hanging="393"/>
        <w:spacing w:after="0" w:line="412" w:lineRule="auto"/>
        <w:tabs>
          <w:tab w:leader="none" w:pos="1092"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Expenses of the Issue </w:t>
      </w:r>
      <w:r>
        <w:rPr>
          <w:rFonts w:ascii="Times New Roman" w:cs="Times New Roman" w:eastAsia="Times New Roman" w:hAnsi="Times New Roman"/>
          <w:sz w:val="16"/>
          <w:szCs w:val="16"/>
          <w:color w:val="auto"/>
        </w:rPr>
        <w:t>Not applicable.</w:t>
      </w:r>
    </w:p>
    <w:p>
      <w:pPr>
        <w:spacing w:after="0" w:line="176"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ADDITIONAL INFORMATION</w:t>
      </w:r>
    </w:p>
    <w:p>
      <w:pPr>
        <w:spacing w:after="0" w:line="117" w:lineRule="exact"/>
        <w:rPr>
          <w:sz w:val="20"/>
          <w:szCs w:val="20"/>
          <w:color w:val="auto"/>
        </w:rPr>
      </w:pPr>
    </w:p>
    <w:p>
      <w:pPr>
        <w:jc w:val="both"/>
        <w:ind w:left="1100" w:right="8400" w:hanging="393"/>
        <w:spacing w:after="0" w:line="412" w:lineRule="auto"/>
        <w:tabs>
          <w:tab w:leader="none" w:pos="1092"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Share Capital </w:t>
      </w:r>
      <w:r>
        <w:rPr>
          <w:rFonts w:ascii="Times New Roman" w:cs="Times New Roman" w:eastAsia="Times New Roman" w:hAnsi="Times New Roman"/>
          <w:sz w:val="16"/>
          <w:szCs w:val="16"/>
          <w:color w:val="auto"/>
        </w:rPr>
        <w:t>Not applicable.</w:t>
      </w:r>
    </w:p>
    <w:p>
      <w:pPr>
        <w:spacing w:after="0" w:line="175" w:lineRule="exact"/>
        <w:rPr>
          <w:rFonts w:ascii="Times New Roman" w:cs="Times New Roman" w:eastAsia="Times New Roman" w:hAnsi="Times New Roman"/>
          <w:sz w:val="16"/>
          <w:szCs w:val="16"/>
          <w:b w:val="1"/>
          <w:bCs w:val="1"/>
          <w:color w:val="auto"/>
        </w:rPr>
      </w:pPr>
    </w:p>
    <w:p>
      <w:pPr>
        <w:ind w:left="1100" w:hanging="393"/>
        <w:spacing w:after="0"/>
        <w:tabs>
          <w:tab w:leader="none" w:pos="1100"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Memorandum and Articles of Association</w:t>
      </w:r>
    </w:p>
    <w:p>
      <w:pPr>
        <w:spacing w:after="0" w:line="107" w:lineRule="exact"/>
        <w:rPr>
          <w:sz w:val="20"/>
          <w:szCs w:val="20"/>
          <w:color w:val="auto"/>
        </w:rPr>
      </w:pPr>
    </w:p>
    <w:p>
      <w:pPr>
        <w:ind w:left="700" w:right="280" w:firstLine="393"/>
        <w:spacing w:after="0" w:line="267" w:lineRule="auto"/>
        <w:rPr>
          <w:sz w:val="20"/>
          <w:szCs w:val="20"/>
          <w:color w:val="auto"/>
        </w:rPr>
      </w:pPr>
      <w:r>
        <w:rPr>
          <w:rFonts w:ascii="Times New Roman" w:cs="Times New Roman" w:eastAsia="Times New Roman" w:hAnsi="Times New Roman"/>
          <w:sz w:val="16"/>
          <w:szCs w:val="16"/>
          <w:color w:val="auto"/>
        </w:rPr>
        <w:t>The following are summaries of material provisions of our third amended and restated memorandum and articles of association and the Companies Act insofar as they relate to the material terms of our common shares. Neither our certificate of incorporation nor our memorandum and articles of association contains any charter of the Chinese Communist party or any text thereof.</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Common Shares</w:t>
      </w:r>
    </w:p>
    <w:p>
      <w:pPr>
        <w:spacing w:after="0" w:line="103" w:lineRule="exact"/>
        <w:rPr>
          <w:sz w:val="20"/>
          <w:szCs w:val="20"/>
          <w:color w:val="auto"/>
        </w:rPr>
      </w:pPr>
    </w:p>
    <w:p>
      <w:pPr>
        <w:ind w:left="700" w:firstLine="393"/>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w:t>
      </w:r>
      <w:r>
        <w:rPr>
          <w:rFonts w:ascii="Times New Roman" w:cs="Times New Roman" w:eastAsia="Times New Roman" w:hAnsi="Times New Roman"/>
          <w:sz w:val="16"/>
          <w:szCs w:val="16"/>
          <w:color w:val="auto"/>
        </w:rPr>
        <w:t>Holders of Class A common shares and Class B common shares generally have the same rights except for voting and conversion rights.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All of our outstanding common shares are fully paid and non-assessable. Certificates representing the common shares are issued in registered form. Our shareholders who are non-residents of the Cayman Islands may freely hold and transfer their common shares in accordance with the articles of association of the company.</w:t>
      </w:r>
    </w:p>
    <w:p>
      <w:pPr>
        <w:spacing w:after="0" w:line="155" w:lineRule="exact"/>
        <w:rPr>
          <w:sz w:val="20"/>
          <w:szCs w:val="20"/>
          <w:color w:val="auto"/>
        </w:rPr>
      </w:pPr>
    </w:p>
    <w:p>
      <w:pPr>
        <w:ind w:left="700" w:right="20" w:firstLine="393"/>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Dividends. </w:t>
      </w:r>
      <w:r>
        <w:rPr>
          <w:rFonts w:ascii="Times New Roman" w:cs="Times New Roman" w:eastAsia="Times New Roman" w:hAnsi="Times New Roman"/>
          <w:sz w:val="16"/>
          <w:szCs w:val="16"/>
          <w:color w:val="auto"/>
        </w:rPr>
        <w:t>The holders of our common shares are entitled to such dividends as may be declared by our board of directors. Our third amended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restated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Act. Holders of Class A common shares and Class B common shares will be entitled to identical rights to dividends, if declared.</w:t>
      </w:r>
    </w:p>
    <w:p>
      <w:pPr>
        <w:spacing w:after="0" w:line="156" w:lineRule="exact"/>
        <w:rPr>
          <w:sz w:val="20"/>
          <w:szCs w:val="20"/>
          <w:color w:val="auto"/>
        </w:rPr>
      </w:pPr>
    </w:p>
    <w:p>
      <w:pPr>
        <w:ind w:left="700" w:right="60" w:firstLine="393"/>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Rights. </w:t>
      </w:r>
      <w:r>
        <w:rPr>
          <w:rFonts w:ascii="Times New Roman" w:cs="Times New Roman" w:eastAsia="Times New Roman" w:hAnsi="Times New Roman"/>
          <w:sz w:val="16"/>
          <w:szCs w:val="16"/>
          <w:color w:val="auto"/>
        </w:rPr>
        <w:t>In respect of all matters subject to a shareholders’ vote, each Class A common share is entitled to one vote, and each Class B</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common share is entitled to fifteen (15) votes, voting together as one class. Voting at any meeting of shareholders is by show of hands unless a poll is demanded. A poll may be demanded by the chairman of such meeting or any one or more shareholders who together hold not less than 10% of the nominal value of the total issued voting shares of our company present in person or by proxy. An ordinary resolution to be passed at a meeting by the shareholders requires the affirmative vote of a simple majority of the votes attaching to the common shares cast at a meeting, while a special resolution requires the affirmative vote of not less than two-thirds of the votes cast attaching to the outstanding common shares at a meeting. A special resolution will be required for important matters such as a change of name or making changes to our third amended and restated memorandum and articles of association.</w:t>
      </w:r>
    </w:p>
    <w:p>
      <w:pPr>
        <w:spacing w:after="0" w:line="165" w:lineRule="exact"/>
        <w:rPr>
          <w:sz w:val="20"/>
          <w:szCs w:val="20"/>
          <w:color w:val="auto"/>
        </w:rPr>
      </w:pPr>
    </w:p>
    <w:p>
      <w:pPr>
        <w:ind w:left="700" w:right="100" w:firstLine="393"/>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Conversion. </w:t>
      </w:r>
      <w:r>
        <w:rPr>
          <w:rFonts w:ascii="Times New Roman" w:cs="Times New Roman" w:eastAsia="Times New Roman" w:hAnsi="Times New Roman"/>
          <w:sz w:val="16"/>
          <w:szCs w:val="16"/>
          <w:color w:val="auto"/>
        </w:rPr>
        <w:t>Each Class B common share is convertible into one Class A common share at any time at the option of the holder thereof. Class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common shares are not convertible into Class B common shares under any circumstances. Upon any transfer of Class B common shares by a holder to any person or entity which is not an affiliate of such holder, such Class B common shares shall be automatically and immediately converted into the equivalent number of Class A common shares.</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143</w:t>
      </w:r>
    </w:p>
    <w:p>
      <w:pPr>
        <w:sectPr>
          <w:pgSz w:w="11900" w:h="16838" w:orient="portrait"/>
          <w:cols w:equalWidth="0" w:num="1">
            <w:col w:w="10480"/>
          </w:cols>
          <w:pgMar w:left="320" w:top="447" w:right="10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right="60" w:firstLine="393"/>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Transfer of Common Shares. </w:t>
      </w:r>
      <w:r>
        <w:rPr>
          <w:rFonts w:ascii="Times New Roman" w:cs="Times New Roman" w:eastAsia="Times New Roman" w:hAnsi="Times New Roman"/>
          <w:sz w:val="16"/>
          <w:szCs w:val="16"/>
          <w:color w:val="auto"/>
        </w:rPr>
        <w:t>Subject to the restrictions contained in our third amended and restated articles of association, any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shareholders may transfer all or any of his or her common shares by an instrument of transfer in the usual or common form or any other form approved by our board of directors.</w:t>
      </w:r>
    </w:p>
    <w:p>
      <w:pPr>
        <w:spacing w:after="0" w:line="154" w:lineRule="exact"/>
        <w:rPr>
          <w:sz w:val="20"/>
          <w:szCs w:val="20"/>
          <w:color w:val="auto"/>
        </w:rPr>
      </w:pPr>
    </w:p>
    <w:p>
      <w:pPr>
        <w:ind w:left="700" w:right="40" w:firstLine="393"/>
        <w:spacing w:after="0" w:line="284" w:lineRule="auto"/>
        <w:rPr>
          <w:sz w:val="20"/>
          <w:szCs w:val="20"/>
          <w:color w:val="auto"/>
        </w:rPr>
      </w:pPr>
      <w:r>
        <w:rPr>
          <w:rFonts w:ascii="Times New Roman" w:cs="Times New Roman" w:eastAsia="Times New Roman" w:hAnsi="Times New Roman"/>
          <w:sz w:val="16"/>
          <w:szCs w:val="16"/>
          <w:color w:val="auto"/>
        </w:rPr>
        <w:t>Our board of directors may, in its absolute discretion, decline to register any transfer of any common share which is not fully paid up or on which we have a lien, among others. Our board of directors may also decline to register any transfer of any common share unless:</w:t>
      </w:r>
    </w:p>
    <w:p>
      <w:pPr>
        <w:spacing w:after="0" w:line="59" w:lineRule="exact"/>
        <w:rPr>
          <w:sz w:val="20"/>
          <w:szCs w:val="20"/>
          <w:color w:val="auto"/>
        </w:rPr>
      </w:pPr>
    </w:p>
    <w:p>
      <w:pPr>
        <w:ind w:left="1580" w:right="420" w:hanging="391"/>
        <w:spacing w:after="0" w:line="284" w:lineRule="auto"/>
        <w:tabs>
          <w:tab w:leader="none" w:pos="15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lodged with us, accompanied by the certificate for the common shares to which it relates and such other evidence as our board of directors may reasonably require to show the right of the transferor to make the transfer;</w:t>
      </w:r>
    </w:p>
    <w:p>
      <w:pPr>
        <w:spacing w:after="0" w:line="58"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in respect of only one class of common shares;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duly and properly stamped, if required;</w:t>
      </w:r>
    </w:p>
    <w:p>
      <w:pPr>
        <w:spacing w:after="0" w:line="117" w:lineRule="exact"/>
        <w:rPr>
          <w:rFonts w:ascii="Times New Roman" w:cs="Times New Roman" w:eastAsia="Times New Roman" w:hAnsi="Times New Roman"/>
          <w:sz w:val="16"/>
          <w:szCs w:val="16"/>
          <w:color w:val="auto"/>
        </w:rPr>
      </w:pPr>
    </w:p>
    <w:p>
      <w:pPr>
        <w:ind w:left="1580" w:right="80" w:hanging="391"/>
        <w:spacing w:after="0" w:line="284" w:lineRule="auto"/>
        <w:tabs>
          <w:tab w:leader="none" w:pos="15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transfer to joint holders, the number of joint holders to whom the common share is to be transferred does not exceed four; and</w:t>
      </w:r>
    </w:p>
    <w:p>
      <w:pPr>
        <w:spacing w:after="0" w:line="58" w:lineRule="exact"/>
        <w:rPr>
          <w:rFonts w:ascii="Times New Roman" w:cs="Times New Roman" w:eastAsia="Times New Roman" w:hAnsi="Times New Roman"/>
          <w:sz w:val="16"/>
          <w:szCs w:val="16"/>
          <w:color w:val="auto"/>
        </w:rPr>
      </w:pPr>
    </w:p>
    <w:p>
      <w:pPr>
        <w:ind w:left="1580" w:right="20" w:hanging="391"/>
        <w:spacing w:after="0" w:line="284" w:lineRule="auto"/>
        <w:tabs>
          <w:tab w:leader="none" w:pos="15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of such maximum sum as the Nasdaq may determine to be payable or such lesser sum as our directors may from time to time require is paid to us in respect thereof.</w:t>
      </w:r>
    </w:p>
    <w:p>
      <w:pPr>
        <w:spacing w:after="0" w:line="143" w:lineRule="exact"/>
        <w:rPr>
          <w:sz w:val="20"/>
          <w:szCs w:val="20"/>
          <w:color w:val="auto"/>
        </w:rPr>
      </w:pPr>
    </w:p>
    <w:p>
      <w:pPr>
        <w:ind w:left="700" w:right="100" w:firstLine="393"/>
        <w:spacing w:after="0" w:line="284" w:lineRule="auto"/>
        <w:rPr>
          <w:sz w:val="20"/>
          <w:szCs w:val="20"/>
          <w:color w:val="auto"/>
        </w:rPr>
      </w:pPr>
      <w:r>
        <w:rPr>
          <w:rFonts w:ascii="Times New Roman" w:cs="Times New Roman" w:eastAsia="Times New Roman" w:hAnsi="Times New Roman"/>
          <w:sz w:val="16"/>
          <w:szCs w:val="16"/>
          <w:color w:val="auto"/>
        </w:rPr>
        <w:t>If our directors refuse to register a transfer, they shall, within three months after the date on which the instrument of transfer was lodged, send to each of the transferor and the transferee notice of such refusal.</w:t>
      </w:r>
    </w:p>
    <w:p>
      <w:pPr>
        <w:spacing w:after="0" w:line="143" w:lineRule="exact"/>
        <w:rPr>
          <w:sz w:val="20"/>
          <w:szCs w:val="20"/>
          <w:color w:val="auto"/>
        </w:rPr>
      </w:pPr>
    </w:p>
    <w:p>
      <w:pPr>
        <w:ind w:left="700" w:firstLine="393"/>
        <w:spacing w:after="0" w:line="267" w:lineRule="auto"/>
        <w:rPr>
          <w:sz w:val="20"/>
          <w:szCs w:val="20"/>
          <w:color w:val="auto"/>
        </w:rPr>
      </w:pPr>
      <w:r>
        <w:rPr>
          <w:rFonts w:ascii="Times New Roman" w:cs="Times New Roman" w:eastAsia="Times New Roman" w:hAnsi="Times New Roman"/>
          <w:sz w:val="16"/>
          <w:szCs w:val="16"/>
          <w:color w:val="auto"/>
        </w:rPr>
        <w:t xml:space="preserve">The registration of transfers may, after compliance with any notice required of the Nasdaq, be suspended and the register of members closed at such times and for such periods as our board of directors may from time to time determine;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the registration of transfers shall not be suspended nor the register of members closed for more than 30 days in any year as our board may determine.</w:t>
      </w:r>
    </w:p>
    <w:p>
      <w:pPr>
        <w:spacing w:after="0" w:line="153" w:lineRule="exact"/>
        <w:rPr>
          <w:sz w:val="20"/>
          <w:szCs w:val="20"/>
          <w:color w:val="auto"/>
        </w:rPr>
      </w:pPr>
    </w:p>
    <w:p>
      <w:pPr>
        <w:ind w:left="700" w:right="120" w:firstLine="393"/>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Liquidation. </w:t>
      </w:r>
      <w:r>
        <w:rPr>
          <w:rFonts w:ascii="Times New Roman" w:cs="Times New Roman" w:eastAsia="Times New Roman" w:hAnsi="Times New Roman"/>
          <w:sz w:val="16"/>
          <w:szCs w:val="16"/>
          <w:color w:val="auto"/>
        </w:rPr>
        <w:t>On a return of capital on winding up or otherwise (other than on conversion, redemption or purchase of common shares), assets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available for distribution among the holders of common shares shall be distributed among the holders of the common shares on a pro rata basis. If our assets available for distribution are insufficient to repay all of the paid-up capital, the assets will be distributed so that the losses are borne by our shareholders proportionately. Any distribution of assets or capital to a holder of a Class A common share and a holder of a Class B common share will be the same in any liquidation event.</w:t>
      </w:r>
    </w:p>
    <w:p>
      <w:pPr>
        <w:spacing w:after="0" w:line="156" w:lineRule="exact"/>
        <w:rPr>
          <w:sz w:val="20"/>
          <w:szCs w:val="20"/>
          <w:color w:val="auto"/>
        </w:rPr>
      </w:pPr>
    </w:p>
    <w:p>
      <w:pPr>
        <w:jc w:val="both"/>
        <w:ind w:left="700" w:right="200" w:firstLine="393"/>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Calls on Common Shares and Forfeiture of Common Shares. </w:t>
      </w:r>
      <w:r>
        <w:rPr>
          <w:rFonts w:ascii="Times New Roman" w:cs="Times New Roman" w:eastAsia="Times New Roman" w:hAnsi="Times New Roman"/>
          <w:sz w:val="16"/>
          <w:szCs w:val="16"/>
          <w:color w:val="auto"/>
        </w:rPr>
        <w:t>Our board of directors may from time to time make calls upon shareholders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any amounts unpaid on their common shares in a notice served to such shareholders at least 14 clear days prior to the specified time of payment. The common shares that have been called upon and remain unpaid are subject to forfeiture.</w:t>
      </w:r>
    </w:p>
    <w:p>
      <w:pPr>
        <w:spacing w:after="0" w:line="152" w:lineRule="exact"/>
        <w:rPr>
          <w:sz w:val="20"/>
          <w:szCs w:val="20"/>
          <w:color w:val="auto"/>
        </w:rPr>
      </w:pPr>
    </w:p>
    <w:p>
      <w:pPr>
        <w:jc w:val="both"/>
        <w:ind w:left="700" w:right="40" w:firstLine="393"/>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Redemption of Common Shares. </w:t>
      </w:r>
      <w:r>
        <w:rPr>
          <w:rFonts w:ascii="Times New Roman" w:cs="Times New Roman" w:eastAsia="Times New Roman" w:hAnsi="Times New Roman"/>
          <w:sz w:val="16"/>
          <w:szCs w:val="16"/>
          <w:color w:val="auto"/>
        </w:rPr>
        <w:t>The Companies Act and our third amended and restated articles of association permit us to purchase our own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 In accordance with our third amended and restated articles of association and provided the necessary shareholders or board approval have been obtained, we may issue shares on terms that are subject to redemption, at our option or at the option of the holders of these shares, on such terms and in such manner, including out of capital, as may be determined by our board of directors.</w:t>
      </w:r>
    </w:p>
    <w:p>
      <w:pPr>
        <w:spacing w:after="0" w:line="158" w:lineRule="exact"/>
        <w:rPr>
          <w:sz w:val="20"/>
          <w:szCs w:val="20"/>
          <w:color w:val="auto"/>
        </w:rPr>
      </w:pPr>
    </w:p>
    <w:p>
      <w:pPr>
        <w:ind w:left="700" w:right="20" w:firstLine="393"/>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Variations of Rights of Shares. </w:t>
      </w:r>
      <w:r>
        <w:rPr>
          <w:rFonts w:ascii="Times New Roman" w:cs="Times New Roman" w:eastAsia="Times New Roman" w:hAnsi="Times New Roman"/>
          <w:sz w:val="16"/>
          <w:szCs w:val="16"/>
          <w:color w:val="auto"/>
        </w:rPr>
        <w:t>All or any of the special rights attached to any class of shares may, subject to the provisions of the Companies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 be varied with the sanction of a special resolution passed at a general meeting of the holders of the shares of that class.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144</w:t>
      </w:r>
    </w:p>
    <w:p>
      <w:pPr>
        <w:sectPr>
          <w:pgSz w:w="11900" w:h="16838" w:orient="portrait"/>
          <w:cols w:equalWidth="0" w:num="1">
            <w:col w:w="10480"/>
          </w:cols>
          <w:pgMar w:left="320" w:top="447" w:right="10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General Meetings of Shareholders</w:t>
      </w:r>
    </w:p>
    <w:p>
      <w:pPr>
        <w:spacing w:after="0" w:line="109" w:lineRule="exact"/>
        <w:rPr>
          <w:sz w:val="20"/>
          <w:szCs w:val="20"/>
          <w:color w:val="auto"/>
        </w:rPr>
      </w:pPr>
    </w:p>
    <w:p>
      <w:pPr>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A majority of the board or the chairman of the board may call general meetings, and they shall on a shareholders’ requisition forthwith proceed to convene an extraordinary general meeting of our company. A shareholders’ requisition is a requisition of shareholders holding at the date of deposit of the requisition shares which carry in aggregate not less than forty per cent (40%) of all votes attaching to all issued shares of our company that as at the date of the deposit carry the right to vote at general meetings of the company.</w:t>
      </w:r>
    </w:p>
    <w:p>
      <w:pPr>
        <w:spacing w:after="0" w:line="161" w:lineRule="exact"/>
        <w:rPr>
          <w:sz w:val="20"/>
          <w:szCs w:val="20"/>
          <w:color w:val="auto"/>
        </w:rPr>
      </w:pPr>
    </w:p>
    <w:p>
      <w:pPr>
        <w:ind w:left="700" w:right="60" w:firstLine="393"/>
        <w:spacing w:after="0" w:line="284" w:lineRule="auto"/>
        <w:rPr>
          <w:sz w:val="20"/>
          <w:szCs w:val="20"/>
          <w:color w:val="auto"/>
        </w:rPr>
      </w:pPr>
      <w:r>
        <w:rPr>
          <w:rFonts w:ascii="Times New Roman" w:cs="Times New Roman" w:eastAsia="Times New Roman" w:hAnsi="Times New Roman"/>
          <w:sz w:val="16"/>
          <w:szCs w:val="16"/>
          <w:color w:val="auto"/>
        </w:rPr>
        <w:t>Advance notice of at least ten clear days is required for the convening of our annual general shareholders’ meeting and any other general meeting of our shareholders but a general meeting may be called by shorter notice, subject to the Companies Act, if it is so agreed:</w:t>
      </w:r>
    </w:p>
    <w:p>
      <w:pPr>
        <w:spacing w:after="0" w:line="59" w:lineRule="exact"/>
        <w:rPr>
          <w:sz w:val="20"/>
          <w:szCs w:val="20"/>
          <w:color w:val="auto"/>
        </w:rPr>
      </w:pPr>
    </w:p>
    <w:p>
      <w:pPr>
        <w:ind w:left="1580" w:hanging="487"/>
        <w:spacing w:after="0"/>
        <w:tabs>
          <w:tab w:leader="none" w:pos="158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meeting called as an annual general meeting, by all the shareholders entitled to attend and vote thereat; and</w:t>
      </w:r>
    </w:p>
    <w:p>
      <w:pPr>
        <w:spacing w:after="0" w:line="117" w:lineRule="exact"/>
        <w:rPr>
          <w:rFonts w:ascii="Times New Roman" w:cs="Times New Roman" w:eastAsia="Times New Roman" w:hAnsi="Times New Roman"/>
          <w:sz w:val="16"/>
          <w:szCs w:val="16"/>
          <w:color w:val="auto"/>
        </w:rPr>
      </w:pPr>
    </w:p>
    <w:p>
      <w:pPr>
        <w:ind w:left="1580" w:right="140" w:hanging="487"/>
        <w:spacing w:after="0" w:line="284" w:lineRule="auto"/>
        <w:tabs>
          <w:tab w:leader="none" w:pos="158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other meeting, by a majority of the shareholders having the right to attend and vote at the meeting together holding not less than forty per cent. (40%) of all votes attaching to all the issued shares giving that right.</w:t>
      </w:r>
    </w:p>
    <w:p>
      <w:pPr>
        <w:spacing w:after="0" w:line="143" w:lineRule="exact"/>
        <w:rPr>
          <w:sz w:val="20"/>
          <w:szCs w:val="20"/>
          <w:color w:val="auto"/>
        </w:rPr>
      </w:pPr>
    </w:p>
    <w:p>
      <w:pPr>
        <w:ind w:left="700" w:right="20" w:firstLine="393"/>
        <w:spacing w:after="0" w:line="267" w:lineRule="auto"/>
        <w:rPr>
          <w:sz w:val="20"/>
          <w:szCs w:val="20"/>
          <w:color w:val="auto"/>
        </w:rPr>
      </w:pPr>
      <w:r>
        <w:rPr>
          <w:rFonts w:ascii="Times New Roman" w:cs="Times New Roman" w:eastAsia="Times New Roman" w:hAnsi="Times New Roman"/>
          <w:sz w:val="16"/>
          <w:szCs w:val="16"/>
          <w:color w:val="auto"/>
        </w:rPr>
        <w:t>A quorum is required for and throughout a meeting of shareholders consists of at least one shareholder entitled to vote and present in person or by proxy or (in the case of a shareholder being a corporation) by its duly authorized representative representing not less than one-third of all voting power of our share capital in issue.</w:t>
      </w: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Inspection of Books and Records</w:t>
      </w:r>
    </w:p>
    <w:p>
      <w:pPr>
        <w:spacing w:after="0" w:line="109" w:lineRule="exact"/>
        <w:rPr>
          <w:sz w:val="20"/>
          <w:szCs w:val="20"/>
          <w:color w:val="auto"/>
        </w:rPr>
      </w:pPr>
    </w:p>
    <w:p>
      <w:pPr>
        <w:jc w:val="both"/>
        <w:ind w:left="700" w:right="240" w:firstLine="393"/>
        <w:spacing w:after="0" w:line="267" w:lineRule="auto"/>
        <w:rPr>
          <w:sz w:val="20"/>
          <w:szCs w:val="20"/>
          <w:color w:val="auto"/>
        </w:rPr>
      </w:pPr>
      <w:r>
        <w:rPr>
          <w:rFonts w:ascii="Times New Roman" w:cs="Times New Roman" w:eastAsia="Times New Roman" w:hAnsi="Times New Roman"/>
          <w:sz w:val="16"/>
          <w:szCs w:val="16"/>
          <w:color w:val="auto"/>
        </w:rPr>
        <w:t>The notice of registered office is a matter of public record. A list of the names of the current directors and alternate directors (if applicable) are made available by the Registrar of Companies in the Cayman Islands for inspection by any person on payment of a fee. The register of mortgages is open to inspection by creditors and members of the company.</w:t>
      </w:r>
    </w:p>
    <w:p>
      <w:pPr>
        <w:spacing w:after="0" w:line="157" w:lineRule="exact"/>
        <w:rPr>
          <w:sz w:val="20"/>
          <w:szCs w:val="20"/>
          <w:color w:val="auto"/>
        </w:rPr>
      </w:pPr>
    </w:p>
    <w:p>
      <w:pPr>
        <w:ind w:left="700" w:right="40" w:firstLine="393"/>
        <w:spacing w:after="0" w:line="267" w:lineRule="auto"/>
        <w:rPr>
          <w:sz w:val="20"/>
          <w:szCs w:val="20"/>
          <w:color w:val="auto"/>
        </w:rPr>
      </w:pPr>
      <w:r>
        <w:rPr>
          <w:rFonts w:ascii="Times New Roman" w:cs="Times New Roman" w:eastAsia="Times New Roman" w:hAnsi="Times New Roman"/>
          <w:sz w:val="16"/>
          <w:szCs w:val="16"/>
          <w:color w:val="auto"/>
        </w:rPr>
        <w:t>Holders of our common shares will have no general right under Cayman Islands law to inspect or obtain copies of our list of shareholders or our corporate records. However, we will in our articles provide our shareholders with the right to inspect our list of shareholders subject to the provisions of the articles and to receive annual audited financial statements.</w:t>
      </w: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Changes in Capital</w:t>
      </w:r>
    </w:p>
    <w:p>
      <w:pPr>
        <w:spacing w:after="0" w:line="1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We may from time to time by ordinary resolution:</w:t>
      </w:r>
    </w:p>
    <w:p>
      <w:pPr>
        <w:spacing w:after="0" w:line="117" w:lineRule="exact"/>
        <w:rPr>
          <w:sz w:val="20"/>
          <w:szCs w:val="20"/>
          <w:color w:val="auto"/>
        </w:rPr>
      </w:pPr>
    </w:p>
    <w:p>
      <w:pPr>
        <w:ind w:left="1580" w:hanging="391"/>
        <w:spacing w:after="0"/>
        <w:tabs>
          <w:tab w:leader="none" w:pos="158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share capital by such sum, to be divided into shares of such classes and amount, as the resolution shall prescribe;</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 and divide all or any of our share capital into shares of a larger amount than our existing shares;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sub-divide our existing shares, or any of them into shares of a smaller amount; or</w:t>
      </w:r>
    </w:p>
    <w:p>
      <w:pPr>
        <w:spacing w:after="0" w:line="117" w:lineRule="exact"/>
        <w:rPr>
          <w:rFonts w:ascii="Times New Roman" w:cs="Times New Roman" w:eastAsia="Times New Roman" w:hAnsi="Times New Roman"/>
          <w:sz w:val="16"/>
          <w:szCs w:val="16"/>
          <w:color w:val="auto"/>
        </w:rPr>
      </w:pPr>
    </w:p>
    <w:p>
      <w:pPr>
        <w:ind w:left="1580" w:right="40" w:hanging="391"/>
        <w:spacing w:after="0" w:line="284" w:lineRule="auto"/>
        <w:tabs>
          <w:tab w:leader="none" w:pos="158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 any shares which, at the date of the passing of the resolution, have not been taken or agreed to be taken by any person and diminish the amount of our share capital by the amount of the shares so canceled.</w:t>
      </w:r>
    </w:p>
    <w:p>
      <w:pPr>
        <w:spacing w:after="0" w:line="143"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However, no alteration contemplated above, or otherwise, may be made to the par value of the Class A common shares or Class B common shares unless an identical alteration is made to the par value of the Class B common shares or Class A common shares, as the case may be.</w:t>
      </w:r>
    </w:p>
    <w:p>
      <w:pPr>
        <w:spacing w:after="0" w:line="143" w:lineRule="exact"/>
        <w:rPr>
          <w:sz w:val="20"/>
          <w:szCs w:val="20"/>
          <w:color w:val="auto"/>
        </w:rPr>
      </w:pPr>
    </w:p>
    <w:p>
      <w:pPr>
        <w:ind w:left="700" w:right="380" w:firstLine="393"/>
        <w:spacing w:after="0" w:line="284" w:lineRule="auto"/>
        <w:rPr>
          <w:sz w:val="20"/>
          <w:szCs w:val="20"/>
          <w:color w:val="auto"/>
        </w:rPr>
      </w:pPr>
      <w:r>
        <w:rPr>
          <w:rFonts w:ascii="Times New Roman" w:cs="Times New Roman" w:eastAsia="Times New Roman" w:hAnsi="Times New Roman"/>
          <w:sz w:val="16"/>
          <w:szCs w:val="16"/>
          <w:color w:val="auto"/>
        </w:rPr>
        <w:t>We may by special resolution, subject to any confirmation or consent required by the Companies Act, reduce our share capital or any capital redemption reserve in any manner permitted by law.</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145</w:t>
      </w:r>
    </w:p>
    <w:p>
      <w:pPr>
        <w:sectPr>
          <w:pgSz w:w="11900" w:h="16838" w:orient="portrait"/>
          <w:cols w:equalWidth="0" w:num="1">
            <w:col w:w="10500"/>
          </w:cols>
          <w:pgMar w:left="320" w:top="447" w:right="10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Mergers and Similar Arrangements</w:t>
      </w:r>
    </w:p>
    <w:p>
      <w:pPr>
        <w:spacing w:after="0" w:line="206" w:lineRule="exact"/>
        <w:rPr>
          <w:sz w:val="20"/>
          <w:szCs w:val="20"/>
          <w:color w:val="auto"/>
        </w:rPr>
      </w:pPr>
    </w:p>
    <w:p>
      <w:pPr>
        <w:ind w:left="700" w:right="20" w:firstLine="393"/>
        <w:spacing w:after="0" w:line="254" w:lineRule="auto"/>
        <w:rPr>
          <w:sz w:val="20"/>
          <w:szCs w:val="20"/>
          <w:color w:val="auto"/>
        </w:rPr>
      </w:pPr>
      <w:r>
        <w:rPr>
          <w:rFonts w:ascii="Times New Roman" w:cs="Times New Roman" w:eastAsia="Times New Roman" w:hAnsi="Times New Roman"/>
          <w:sz w:val="16"/>
          <w:szCs w:val="16"/>
          <w:color w:val="auto"/>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72" w:lineRule="exact"/>
        <w:rPr>
          <w:sz w:val="20"/>
          <w:szCs w:val="20"/>
          <w:color w:val="auto"/>
        </w:rPr>
      </w:pPr>
    </w:p>
    <w:p>
      <w:pPr>
        <w:ind w:left="700" w:right="300" w:firstLine="393"/>
        <w:spacing w:after="0" w:line="262" w:lineRule="auto"/>
        <w:rPr>
          <w:sz w:val="20"/>
          <w:szCs w:val="20"/>
          <w:color w:val="auto"/>
        </w:rPr>
      </w:pPr>
      <w:r>
        <w:rPr>
          <w:rFonts w:ascii="Times New Roman" w:cs="Times New Roman" w:eastAsia="Times New Roman" w:hAnsi="Times New Roman"/>
          <w:sz w:val="16"/>
          <w:szCs w:val="16"/>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61" w:lineRule="exact"/>
        <w:rPr>
          <w:sz w:val="20"/>
          <w:szCs w:val="20"/>
          <w:color w:val="auto"/>
        </w:rPr>
      </w:pPr>
    </w:p>
    <w:p>
      <w:pPr>
        <w:ind w:left="700" w:right="240" w:firstLine="393"/>
        <w:spacing w:after="0" w:line="284" w:lineRule="auto"/>
        <w:rPr>
          <w:sz w:val="20"/>
          <w:szCs w:val="20"/>
          <w:color w:val="auto"/>
        </w:rPr>
      </w:pPr>
      <w:r>
        <w:rPr>
          <w:rFonts w:ascii="Times New Roman" w:cs="Times New Roman" w:eastAsia="Times New Roman" w:hAnsi="Times New Roman"/>
          <w:sz w:val="16"/>
          <w:szCs w:val="16"/>
          <w:color w:val="auto"/>
        </w:rPr>
        <w:t>The consent of each holder of a fixed or floating security interest over a constituent company is required unless this requirement is waived by a court in the Cayman Islands.</w:t>
      </w:r>
    </w:p>
    <w:p>
      <w:pPr>
        <w:spacing w:after="0" w:line="143"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64" w:lineRule="exact"/>
        <w:rPr>
          <w:sz w:val="20"/>
          <w:szCs w:val="20"/>
          <w:color w:val="auto"/>
        </w:rPr>
      </w:pPr>
    </w:p>
    <w:p>
      <w:pPr>
        <w:ind w:left="700" w:right="60" w:firstLine="393"/>
        <w:spacing w:after="0" w:line="256" w:lineRule="auto"/>
        <w:rPr>
          <w:sz w:val="20"/>
          <w:szCs w:val="20"/>
          <w:color w:val="auto"/>
        </w:rPr>
      </w:pPr>
      <w:r>
        <w:rPr>
          <w:rFonts w:ascii="Times New Roman" w:cs="Times New Roman" w:eastAsia="Times New Roman" w:hAnsi="Times New Roman"/>
          <w:sz w:val="16"/>
          <w:szCs w:val="16"/>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seventy-five per cent in value of the members or class of members, as the case may be, with whom the arrangement is to be made and a majority in number of each class of creditors with whom the arrangement is to be made, and who must in addition represent seventy-five per cent in value of each such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84" w:lineRule="exact"/>
        <w:rPr>
          <w:sz w:val="20"/>
          <w:szCs w:val="20"/>
          <w:color w:val="auto"/>
        </w:rPr>
      </w:pPr>
    </w:p>
    <w:p>
      <w:pPr>
        <w:ind w:left="1580" w:hanging="391"/>
        <w:spacing w:after="0"/>
        <w:tabs>
          <w:tab w:leader="none" w:pos="15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statutory provisions as to the required majority vote have been met;</w:t>
      </w:r>
    </w:p>
    <w:p>
      <w:pPr>
        <w:spacing w:after="0" w:line="117" w:lineRule="exact"/>
        <w:rPr>
          <w:rFonts w:ascii="Times New Roman" w:cs="Times New Roman" w:eastAsia="Times New Roman" w:hAnsi="Times New Roman"/>
          <w:sz w:val="16"/>
          <w:szCs w:val="16"/>
          <w:color w:val="auto"/>
        </w:rPr>
      </w:pPr>
    </w:p>
    <w:p>
      <w:pPr>
        <w:ind w:left="1580" w:right="60" w:hanging="391"/>
        <w:spacing w:after="0" w:line="284" w:lineRule="auto"/>
        <w:tabs>
          <w:tab w:leader="none" w:pos="15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shareholders have been fairly represented at the meeting in question and the statutory majority are acting bona fide without coercion of the minority to promote interests adverse to those of the class;</w:t>
      </w:r>
    </w:p>
    <w:p>
      <w:pPr>
        <w:spacing w:after="0" w:line="58"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such that may be reasonably approved by an intelligent and honest man of that class acting in respect of his interest; and</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not one that would more properly be sanctioned under some other provision of the Companies Act.</w:t>
      </w:r>
    </w:p>
    <w:p>
      <w:pPr>
        <w:spacing w:after="0" w:line="1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146</w:t>
      </w:r>
    </w:p>
    <w:p>
      <w:pPr>
        <w:sectPr>
          <w:pgSz w:w="11900" w:h="16838" w:orient="portrait"/>
          <w:cols w:equalWidth="0" w:num="1">
            <w:col w:w="10540"/>
          </w:cols>
          <w:pgMar w:left="320" w:top="447" w:right="10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The Companies Act also contains a statutory power of compulsory acquisition which may facilitate the “squeeze out” of a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64" w:lineRule="exact"/>
        <w:rPr>
          <w:sz w:val="20"/>
          <w:szCs w:val="20"/>
          <w:color w:val="auto"/>
        </w:rPr>
      </w:pPr>
    </w:p>
    <w:p>
      <w:pPr>
        <w:ind w:left="700" w:right="20" w:firstLine="393"/>
        <w:spacing w:after="0" w:line="259" w:lineRule="auto"/>
        <w:rPr>
          <w:sz w:val="20"/>
          <w:szCs w:val="20"/>
          <w:color w:val="auto"/>
        </w:rPr>
      </w:pPr>
      <w:r>
        <w:rPr>
          <w:rFonts w:ascii="Times New Roman" w:cs="Times New Roman" w:eastAsia="Times New Roman" w:hAnsi="Times New Roman"/>
          <w:sz w:val="16"/>
          <w:szCs w:val="16"/>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64"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Exempted Company</w:t>
      </w:r>
    </w:p>
    <w:p>
      <w:pPr>
        <w:spacing w:after="0" w:line="109" w:lineRule="exact"/>
        <w:rPr>
          <w:sz w:val="20"/>
          <w:szCs w:val="20"/>
          <w:color w:val="auto"/>
        </w:rPr>
      </w:pPr>
    </w:p>
    <w:p>
      <w:pPr>
        <w:ind w:left="700" w:right="220" w:firstLine="393"/>
        <w:spacing w:after="0" w:line="262" w:lineRule="auto"/>
        <w:rPr>
          <w:sz w:val="20"/>
          <w:szCs w:val="20"/>
          <w:color w:val="auto"/>
        </w:rPr>
      </w:pPr>
      <w:r>
        <w:rPr>
          <w:rFonts w:ascii="Times New Roman" w:cs="Times New Roman" w:eastAsia="Times New Roman" w:hAnsi="Times New Roman"/>
          <w:sz w:val="16"/>
          <w:szCs w:val="16"/>
          <w:color w:val="auto"/>
        </w:rPr>
        <w:t>We are an exempted company with limited liability incorporated under the Companies Act. The Companies Act in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76" w:lineRule="exact"/>
        <w:rPr>
          <w:sz w:val="20"/>
          <w:szCs w:val="20"/>
          <w:color w:val="auto"/>
        </w:rPr>
      </w:pPr>
    </w:p>
    <w:p>
      <w:pPr>
        <w:ind w:left="1580" w:hanging="391"/>
        <w:spacing w:after="0"/>
        <w:tabs>
          <w:tab w:leader="none" w:pos="15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does not have to file an annual return of its shareholders with the Registrar of Companies;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company’s register of members is not open to inspection;</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does not have to hold an annual general meeting;</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may issue no par value shares;</w:t>
      </w:r>
    </w:p>
    <w:p>
      <w:pPr>
        <w:spacing w:after="0" w:line="117" w:lineRule="exact"/>
        <w:rPr>
          <w:rFonts w:ascii="Times New Roman" w:cs="Times New Roman" w:eastAsia="Times New Roman" w:hAnsi="Times New Roman"/>
          <w:sz w:val="16"/>
          <w:szCs w:val="16"/>
          <w:color w:val="auto"/>
        </w:rPr>
      </w:pPr>
    </w:p>
    <w:p>
      <w:pPr>
        <w:ind w:left="1580" w:right="20" w:hanging="391"/>
        <w:spacing w:after="0" w:line="284" w:lineRule="auto"/>
        <w:tabs>
          <w:tab w:leader="none" w:pos="15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may obtain an undertaking against the imposition of any future taxation (such undertakings are usually given for 20 years in the first instance);</w:t>
      </w:r>
    </w:p>
    <w:p>
      <w:pPr>
        <w:spacing w:after="0" w:line="58"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may register by way of continuation in another jurisdiction and be deregistered in the Cayman Islands;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may register as a limited duration company; and</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may register as a segregated portfolio company or special economic zone company.</w:t>
      </w:r>
    </w:p>
    <w:p>
      <w:pPr>
        <w:spacing w:after="0" w:line="202" w:lineRule="exact"/>
        <w:rPr>
          <w:sz w:val="20"/>
          <w:szCs w:val="20"/>
          <w:color w:val="auto"/>
        </w:rPr>
      </w:pPr>
    </w:p>
    <w:p>
      <w:pPr>
        <w:ind w:left="700" w:right="80" w:firstLine="393"/>
        <w:spacing w:after="0" w:line="259" w:lineRule="auto"/>
        <w:rPr>
          <w:sz w:val="20"/>
          <w:szCs w:val="20"/>
          <w:color w:val="auto"/>
        </w:rPr>
      </w:pPr>
      <w:r>
        <w:rPr>
          <w:rFonts w:ascii="Times New Roman" w:cs="Times New Roman" w:eastAsia="Times New Roman" w:hAnsi="Times New Roman"/>
          <w:sz w:val="16"/>
          <w:szCs w:val="16"/>
          <w:color w:val="auto"/>
        </w:rPr>
        <w:t>“Limited liability” means that the liability of each shareholder is limited to the amount unpaid by the shareholder on the shares of the company. We are subject to reporting and other informational requirements of the Exchange Act, as applicable to foreign private issuers. We currently intend to comply with the Nasdaq rules in lieu of following home country practice. The Nasdaq rules require that every company listed on the Nasdaq hold an annual general meeting of shareholders. In addition, our articles of association allow directors to call extraordinary meeting of shareholders pursuant to the procedures set forth in our articles.</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147</w:t>
      </w:r>
    </w:p>
    <w:p>
      <w:pPr>
        <w:sectPr>
          <w:pgSz w:w="11900" w:h="16838" w:orient="portrait"/>
          <w:cols w:equalWidth="0" w:num="1">
            <w:col w:w="10500"/>
          </w:cols>
          <w:pgMar w:left="320" w:top="447" w:right="10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1100" w:hanging="393"/>
        <w:spacing w:after="0"/>
        <w:tabs>
          <w:tab w:leader="none" w:pos="1100"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Material Contracts</w:t>
      </w:r>
    </w:p>
    <w:p>
      <w:pPr>
        <w:spacing w:after="0" w:line="107" w:lineRule="exact"/>
        <w:rPr>
          <w:sz w:val="20"/>
          <w:szCs w:val="20"/>
          <w:color w:val="auto"/>
        </w:rPr>
      </w:pPr>
    </w:p>
    <w:p>
      <w:pPr>
        <w:ind w:left="700" w:right="20" w:firstLine="393"/>
        <w:spacing w:after="0" w:line="267" w:lineRule="auto"/>
        <w:rPr>
          <w:sz w:val="20"/>
          <w:szCs w:val="20"/>
          <w:color w:val="auto"/>
        </w:rPr>
      </w:pPr>
      <w:r>
        <w:rPr>
          <w:rFonts w:ascii="Times New Roman" w:cs="Times New Roman" w:eastAsia="Times New Roman" w:hAnsi="Times New Roman"/>
          <w:sz w:val="16"/>
          <w:szCs w:val="16"/>
          <w:color w:val="auto"/>
        </w:rPr>
        <w:t>We have not entered into any material contracts other than in the ordinary course of business and other than those described in “Item 4. Information on the Company,” “Item 7. Major Shareholders and Related Party Transactions—B. Related Party Transactions” or elsewhere in this annual report.</w:t>
      </w:r>
    </w:p>
    <w:p>
      <w:pPr>
        <w:spacing w:after="0" w:line="288" w:lineRule="exact"/>
        <w:rPr>
          <w:sz w:val="20"/>
          <w:szCs w:val="20"/>
          <w:color w:val="auto"/>
        </w:rPr>
      </w:pPr>
    </w:p>
    <w:p>
      <w:pPr>
        <w:ind w:left="1100" w:hanging="393"/>
        <w:spacing w:after="0"/>
        <w:tabs>
          <w:tab w:leader="none" w:pos="1100"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Exchange Controls</w:t>
      </w:r>
    </w:p>
    <w:p>
      <w:pPr>
        <w:spacing w:after="0" w:line="107" w:lineRule="exact"/>
        <w:rPr>
          <w:rFonts w:ascii="Times New Roman" w:cs="Times New Roman" w:eastAsia="Times New Roman" w:hAnsi="Times New Roman"/>
          <w:sz w:val="16"/>
          <w:szCs w:val="16"/>
          <w:b w:val="1"/>
          <w:bCs w:val="1"/>
          <w:color w:val="auto"/>
        </w:rPr>
      </w:pPr>
    </w:p>
    <w:p>
      <w:pPr>
        <w:ind w:left="11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See “Item 4. Information on the Company—B. Business Overview—Regulation—Regulations on Foreign Exchange.”</w:t>
      </w:r>
    </w:p>
    <w:p>
      <w:pPr>
        <w:spacing w:after="0" w:line="332" w:lineRule="exact"/>
        <w:rPr>
          <w:rFonts w:ascii="Times New Roman" w:cs="Times New Roman" w:eastAsia="Times New Roman" w:hAnsi="Times New Roman"/>
          <w:sz w:val="16"/>
          <w:szCs w:val="16"/>
          <w:b w:val="1"/>
          <w:bCs w:val="1"/>
          <w:color w:val="auto"/>
        </w:rPr>
      </w:pPr>
    </w:p>
    <w:p>
      <w:pPr>
        <w:ind w:left="1100" w:hanging="393"/>
        <w:spacing w:after="0"/>
        <w:tabs>
          <w:tab w:leader="none" w:pos="1100"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Taxation</w:t>
      </w:r>
    </w:p>
    <w:p>
      <w:pPr>
        <w:spacing w:after="0" w:line="107" w:lineRule="exact"/>
        <w:rPr>
          <w:sz w:val="20"/>
          <w:szCs w:val="20"/>
          <w:color w:val="auto"/>
        </w:rPr>
      </w:pPr>
    </w:p>
    <w:p>
      <w:pPr>
        <w:ind w:left="700" w:right="180" w:firstLine="393"/>
        <w:spacing w:after="0" w:line="259" w:lineRule="auto"/>
        <w:rPr>
          <w:sz w:val="20"/>
          <w:szCs w:val="20"/>
          <w:color w:val="auto"/>
        </w:rPr>
      </w:pPr>
      <w:r>
        <w:rPr>
          <w:rFonts w:ascii="Times New Roman" w:cs="Times New Roman" w:eastAsia="Times New Roman" w:hAnsi="Times New Roman"/>
          <w:sz w:val="16"/>
          <w:szCs w:val="16"/>
          <w:color w:val="auto"/>
        </w:rPr>
        <w:t>The following summary of the Cayman Islands, PRC and U.S. federal income tax considerations of an investment in the ADSs or Class A common shares is based upon laws and relevant interpretations thereof in effect as of the date of this registration statement, all of which are subject to change. This summary does not deal with all possible tax considerations relating to an investment in the ADSs or Class A common shares, such as the tax considerations under U.S. state and local tax laws or under the tax laws of jurisdictions other than the Cayman Islands, the People’s Republic of China and the United States.</w:t>
      </w: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Cayman Islands Taxation</w:t>
      </w:r>
    </w:p>
    <w:p>
      <w:pPr>
        <w:spacing w:after="0" w:line="107"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are a party to a double tax treaty entered into with the United Kingdom in 2010 but otherwise is not party to any double tax treaties. There are no exchange control regulations or currency restrictions in the Cayman Islands.</w:t>
      </w:r>
    </w:p>
    <w:p>
      <w:pPr>
        <w:spacing w:after="0" w:line="164" w:lineRule="exact"/>
        <w:rPr>
          <w:sz w:val="20"/>
          <w:szCs w:val="20"/>
          <w:color w:val="auto"/>
        </w:rPr>
      </w:pPr>
    </w:p>
    <w:p>
      <w:pPr>
        <w:jc w:val="both"/>
        <w:ind w:left="700" w:right="60" w:firstLine="393"/>
        <w:spacing w:after="0" w:line="267" w:lineRule="auto"/>
        <w:rPr>
          <w:sz w:val="20"/>
          <w:szCs w:val="20"/>
          <w:color w:val="auto"/>
        </w:rPr>
      </w:pPr>
      <w:r>
        <w:rPr>
          <w:rFonts w:ascii="Times New Roman" w:cs="Times New Roman" w:eastAsia="Times New Roman" w:hAnsi="Times New Roman"/>
          <w:sz w:val="16"/>
          <w:szCs w:val="16"/>
          <w:color w:val="auto"/>
        </w:rPr>
        <w:t>Payments of dividends and capital in respect of our common shares will not be subject to taxation in the Cayman Islands and no withholding will be required on the payment of a dividend or capital to any holder of our common shares, nor will gains derived from the disposal of our common shares be subject to Cayman Islands income or corporation tax.</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People’s Republic of China Taxation</w:t>
      </w:r>
    </w:p>
    <w:p>
      <w:pPr>
        <w:spacing w:after="0" w:line="107" w:lineRule="exact"/>
        <w:rPr>
          <w:sz w:val="20"/>
          <w:szCs w:val="20"/>
          <w:color w:val="auto"/>
        </w:rPr>
      </w:pPr>
    </w:p>
    <w:p>
      <w:pPr>
        <w:ind w:left="700" w:firstLine="393"/>
        <w:spacing w:after="0" w:line="253" w:lineRule="auto"/>
        <w:rPr>
          <w:sz w:val="20"/>
          <w:szCs w:val="20"/>
          <w:color w:val="auto"/>
        </w:rPr>
      </w:pPr>
      <w:r>
        <w:rPr>
          <w:rFonts w:ascii="Times New Roman" w:cs="Times New Roman" w:eastAsia="Times New Roman" w:hAnsi="Times New Roman"/>
          <w:sz w:val="16"/>
          <w:szCs w:val="16"/>
          <w:color w:val="auto"/>
        </w:rPr>
        <w:t>The following discussion is the opinion of Commerce &amp; Finance Law Offices, our legal counsel as to PRC Law. 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 personnel, accounts and properties, etc. of an enterprise. In April 2009, the State Administration of Taxation issued a circular, as amended in November 2013 and partially invalid,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only if all of the following conditions are met:</w:t>
      </w:r>
    </w:p>
    <w:p>
      <w:pPr>
        <w:spacing w:after="0" w:line="4" w:lineRule="exact"/>
        <w:rPr>
          <w:sz w:val="20"/>
          <w:szCs w:val="20"/>
          <w:color w:val="auto"/>
        </w:rPr>
      </w:pPr>
    </w:p>
    <w:p>
      <w:pPr>
        <w:ind w:left="700" w:right="260" w:firstLine="7"/>
        <w:spacing w:after="0" w:line="255" w:lineRule="auto"/>
        <w:tabs>
          <w:tab w:leader="none" w:pos="892"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primary location where the senior executives and the corresponding executive departments perform their duty of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148</w:t>
      </w:r>
    </w:p>
    <w:p>
      <w:pPr>
        <w:sectPr>
          <w:pgSz w:w="11900" w:h="16838" w:orient="portrait"/>
          <w:cols w:equalWidth="0" w:num="1">
            <w:col w:w="10520"/>
          </w:cols>
          <w:pgMar w:left="320" w:top="447" w:right="10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53" w:lineRule="auto"/>
        <w:rPr>
          <w:sz w:val="20"/>
          <w:szCs w:val="20"/>
          <w:color w:val="auto"/>
        </w:rPr>
      </w:pPr>
      <w:r>
        <w:rPr>
          <w:rFonts w:ascii="Times New Roman" w:cs="Times New Roman" w:eastAsia="Times New Roman" w:hAnsi="Times New Roman"/>
          <w:sz w:val="16"/>
          <w:szCs w:val="16"/>
          <w:color w:val="auto"/>
        </w:rPr>
        <w:t>Huize Holding Limited is not controlled by a PRC enterprise or PRC enterprise group and we do not believe that Huize Holding Limited meets all of the conditions above. Huize Holding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In the opinion of Commerce &amp; Finance Law Offices, our legal counsel as to PRC law, it is more likely than not that Huize Holding Limited will not be deemed as a PRC resident enterprise for PRC tax purposes. As such, holders of the ADSs and common shares who are not PRC residents likely will not be subject to PRC income tax on dividends distributed by us or gains realized from the sale or other disposition of our shares or ADSs. However, under SAT Public Notice 7 and SAT Public Notice 37,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owns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We and our non-PRC resident investors may be at risk of being required to file a return and being taxed under SAT Public Notice 7 and SAT Public Notice 37, and we may be required to expend valuable resources to comply with SAT Public Notice 7 and SAT Public Notice 37, or to establish that we should not be taxed under these circulars. See “Item 3. Key Information—D. Risk Factors—Risks Relating to Doing Business in China—We face uncertainties with respect to indirect transfers of equity interests in PRC resident enterprises by their non-PRC holding companies.”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70"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Our PRC legal counsel has also advised us that, there is a risk that the PRC tax authorities may deem us as a PRC resident enterprises since a substantially majority of the members of our management team are located in China. If the PRC tax authorities determine that Huize Holding Limited is a PRC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 10% PRC tax on gains realized on the sale or other disposition of ADSs or common shares, if such income is treated as sourced from within the PRC. It is unclear whether our non-PRC individual shareholders (including the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Huize Holding Limited would be able to claim the benefits of any tax treaties between their country of tax residence and the PRC in the event that Huize Holding Limited is treated as a PRC resident enterprise. See “Item 3. Key Information—D. Risk Factors—Risks Relating to Doing Business in China—If we are classified as a PRC resident enterprise for PRC income tax purposes, such classification could result in unfavorable tax consequences to us and our non-PRC shareholders or ADS holders.”</w:t>
      </w:r>
    </w:p>
    <w:p>
      <w:pPr>
        <w:spacing w:after="0" w:line="2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United States Federal Income Tax Considerations</w:t>
      </w:r>
    </w:p>
    <w:p>
      <w:pPr>
        <w:spacing w:after="0" w:line="107" w:lineRule="exact"/>
        <w:rPr>
          <w:sz w:val="20"/>
          <w:szCs w:val="20"/>
          <w:color w:val="auto"/>
        </w:rPr>
      </w:pPr>
    </w:p>
    <w:p>
      <w:pPr>
        <w:ind w:left="700" w:right="60" w:firstLine="393"/>
        <w:spacing w:after="0" w:line="255" w:lineRule="auto"/>
        <w:rPr>
          <w:sz w:val="20"/>
          <w:szCs w:val="20"/>
          <w:color w:val="auto"/>
        </w:rPr>
      </w:pPr>
      <w:r>
        <w:rPr>
          <w:rFonts w:ascii="Times New Roman" w:cs="Times New Roman" w:eastAsia="Times New Roman" w:hAnsi="Times New Roman"/>
          <w:sz w:val="16"/>
          <w:szCs w:val="16"/>
          <w:color w:val="auto"/>
        </w:rPr>
        <w:t>The following discussion is a summary of U.S. federal income tax considerations generally applicable to the ownership and disposition of our ADSs or common shares by a U.S. Holder (as defined below) that acquires and holds our ADSs or common shares as “capital assets” (generally, property held for investment) under the U.S. Internal Revenue Code of 1986, as amended (the “Code”). This discussion is based upon existing U.S. federal tax law, which is subject to differing interpretations or change, possibly with retroactive effect, and there can be no assurance that the Internal Revenue Service (the “IRS”) or a court will not take a contrary position. This discussion, moreover, does not address the U.S. federal estate, gift, Medicare tax on certain net investment income, and alternative minimum tax considerations, backup withholding and information reporting requirements, including pursuant to sections 1471 through 1474 of the Code, or any state, local and non-U.S. tax considerations, relating to the ownership or disposition of our ADSs or common shares. The following summary does not address all aspects of U.S. federal income taxation that may be important to particular investors in light of their individual circumstances or to persons in special tax situations such as:</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149</w:t>
      </w:r>
    </w:p>
    <w:p>
      <w:pPr>
        <w:sectPr>
          <w:pgSz w:w="11900" w:h="16838" w:orient="portrait"/>
          <w:cols w:equalWidth="0" w:num="1">
            <w:col w:w="10520"/>
          </w:cols>
          <w:pgMar w:left="320" w:top="447" w:right="10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1580" w:hanging="391"/>
        <w:spacing w:after="0"/>
        <w:tabs>
          <w:tab w:leader="none" w:pos="1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banks and other financial institutions;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companies;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pension plans;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cooperatives;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regulated investment companies;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investment trusts;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broker-dealers;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traders that elect to use a mark-to-market method of accounting</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former U.S. citizens or long-term residents;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entities (including private foundations);</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liable for alternative minimum tax;</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acquire their ADSs or common shares pursuant to any employee share option or otherwise as compensation;</w:t>
      </w:r>
    </w:p>
    <w:p>
      <w:pPr>
        <w:spacing w:after="0" w:line="117" w:lineRule="exact"/>
        <w:rPr>
          <w:rFonts w:ascii="Times New Roman" w:cs="Times New Roman" w:eastAsia="Times New Roman" w:hAnsi="Times New Roman"/>
          <w:sz w:val="16"/>
          <w:szCs w:val="16"/>
          <w:color w:val="auto"/>
        </w:rPr>
      </w:pPr>
    </w:p>
    <w:p>
      <w:pPr>
        <w:ind w:left="1580" w:right="500" w:hanging="391"/>
        <w:spacing w:after="0" w:line="284" w:lineRule="auto"/>
        <w:tabs>
          <w:tab w:leader="none" w:pos="1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investors that will hold their ADSs or common shares as part of a straddle, hedge, conversion, constructive sale or other integrated transaction for U.S. federal income tax purposes;</w:t>
      </w:r>
    </w:p>
    <w:p>
      <w:pPr>
        <w:spacing w:after="0" w:line="58"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investors that have a functional currency other than the U.S. dollar;</w:t>
      </w:r>
    </w:p>
    <w:p>
      <w:pPr>
        <w:spacing w:after="0" w:line="117"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actually or constructively own ADSs or common shares representing 10% or more of our stock (by vote or value); or</w:t>
      </w:r>
    </w:p>
    <w:p>
      <w:pPr>
        <w:spacing w:after="0" w:line="117" w:lineRule="exact"/>
        <w:rPr>
          <w:rFonts w:ascii="Times New Roman" w:cs="Times New Roman" w:eastAsia="Times New Roman" w:hAnsi="Times New Roman"/>
          <w:sz w:val="16"/>
          <w:szCs w:val="16"/>
          <w:color w:val="auto"/>
        </w:rPr>
      </w:pPr>
    </w:p>
    <w:p>
      <w:pPr>
        <w:ind w:left="1580" w:right="240" w:hanging="391"/>
        <w:spacing w:after="0" w:line="284" w:lineRule="auto"/>
        <w:tabs>
          <w:tab w:leader="none" w:pos="1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partnerships or other entities taxable as partnerships for U.S. federal income tax purposes, or persons holding ADSs or common shares through such entities;</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all of whom may be subject to tax rules that differ significantly from those discussed below.</w:t>
      </w:r>
    </w:p>
    <w:p>
      <w:pPr>
        <w:spacing w:after="0" w:line="202"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Each U.S. Holder is urged to consult its tax advisor regarding the application of U.S. federal taxation to its particular circumstances, and the state, local, non-U.S. and other tax considerations of the ownership and disposition of our ADSs or common shares.</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09" w:lineRule="exact"/>
        <w:rPr>
          <w:sz w:val="20"/>
          <w:szCs w:val="20"/>
          <w:color w:val="auto"/>
        </w:rPr>
      </w:pPr>
    </w:p>
    <w:p>
      <w:pPr>
        <w:ind w:left="700" w:right="560" w:firstLine="393"/>
        <w:spacing w:after="0" w:line="284" w:lineRule="auto"/>
        <w:rPr>
          <w:sz w:val="20"/>
          <w:szCs w:val="20"/>
          <w:color w:val="auto"/>
        </w:rPr>
      </w:pPr>
      <w:r>
        <w:rPr>
          <w:rFonts w:ascii="Times New Roman" w:cs="Times New Roman" w:eastAsia="Times New Roman" w:hAnsi="Times New Roman"/>
          <w:sz w:val="16"/>
          <w:szCs w:val="16"/>
          <w:color w:val="auto"/>
        </w:rPr>
        <w:t>For purposes of this discussion, a “U.S. Holder” is a beneficial owner of our ADSs or common shares that is, for U.S. federal income tax purposes:</w:t>
      </w:r>
    </w:p>
    <w:p>
      <w:pPr>
        <w:spacing w:after="0" w:line="59" w:lineRule="exact"/>
        <w:rPr>
          <w:sz w:val="20"/>
          <w:szCs w:val="20"/>
          <w:color w:val="auto"/>
        </w:rPr>
      </w:pPr>
    </w:p>
    <w:p>
      <w:pPr>
        <w:ind w:left="1580" w:hanging="391"/>
        <w:spacing w:after="0"/>
        <w:tabs>
          <w:tab w:leader="none" w:pos="158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117" w:lineRule="exact"/>
        <w:rPr>
          <w:rFonts w:ascii="Times New Roman" w:cs="Times New Roman" w:eastAsia="Times New Roman" w:hAnsi="Times New Roman"/>
          <w:sz w:val="16"/>
          <w:szCs w:val="16"/>
          <w:color w:val="auto"/>
        </w:rPr>
      </w:pPr>
    </w:p>
    <w:p>
      <w:pPr>
        <w:ind w:left="1580" w:right="100" w:hanging="391"/>
        <w:spacing w:after="0" w:line="284" w:lineRule="auto"/>
        <w:tabs>
          <w:tab w:leader="none" w:pos="158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treated as a corporation for U.S. federal income tax purposes) created in, or organized under the laws of the United States or any state thereof or the District of Columbia;</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150</w:t>
      </w:r>
    </w:p>
    <w:p>
      <w:pPr>
        <w:sectPr>
          <w:pgSz w:w="11900" w:h="16838" w:orient="portrait"/>
          <w:cols w:equalWidth="0" w:num="1">
            <w:col w:w="10460"/>
          </w:cols>
          <w:pgMar w:left="320" w:top="447" w:right="11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1580" w:hanging="391"/>
        <w:spacing w:after="0"/>
        <w:tabs>
          <w:tab w:leader="none" w:pos="15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includible in gross income for U.S. federal income tax purposes regardless of its source; or</w:t>
      </w:r>
    </w:p>
    <w:p>
      <w:pPr>
        <w:spacing w:after="0" w:line="117" w:lineRule="exact"/>
        <w:rPr>
          <w:rFonts w:ascii="Times New Roman" w:cs="Times New Roman" w:eastAsia="Times New Roman" w:hAnsi="Times New Roman"/>
          <w:sz w:val="16"/>
          <w:szCs w:val="16"/>
          <w:color w:val="auto"/>
        </w:rPr>
      </w:pPr>
    </w:p>
    <w:p>
      <w:pPr>
        <w:ind w:left="1580" w:right="180" w:hanging="391"/>
        <w:spacing w:after="0" w:line="267" w:lineRule="auto"/>
        <w:tabs>
          <w:tab w:leader="none" w:pos="15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57" w:lineRule="exact"/>
        <w:rPr>
          <w:sz w:val="20"/>
          <w:szCs w:val="20"/>
          <w:color w:val="auto"/>
        </w:rPr>
      </w:pPr>
    </w:p>
    <w:p>
      <w:pPr>
        <w:ind w:left="700" w:right="20" w:firstLine="393"/>
        <w:spacing w:after="0" w:line="267" w:lineRule="auto"/>
        <w:rPr>
          <w:sz w:val="20"/>
          <w:szCs w:val="20"/>
          <w:color w:val="auto"/>
        </w:rPr>
      </w:pPr>
      <w:r>
        <w:rPr>
          <w:rFonts w:ascii="Times New Roman" w:cs="Times New Roman" w:eastAsia="Times New Roman" w:hAnsi="Times New Roman"/>
          <w:sz w:val="16"/>
          <w:szCs w:val="16"/>
          <w:color w:val="auto"/>
        </w:rPr>
        <w:t>For U.S. federal income tax purposes, a U.S. Holder of ADSs will generally be treated as the beneficial owner of the underlying shares represented by the ADSs. The remainder of this discussion assumes that a U.S. Holder of our ADSs will be treated in this manner. Accordingly, deposits or withdrawals of common shares for ADSs generally will not be subject to U.S. federal income tax.</w:t>
      </w: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 Considerations</w:t>
      </w:r>
    </w:p>
    <w:p>
      <w:pPr>
        <w:spacing w:after="0" w:line="109"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A non-U.S. corporation, such as our company, will be classified as a PFIC for U.S. federal income tax purposes for any taxable year if, applying applicable look-through rules, either (i) 75% or more of its gross income for such year consists of certain types of “passive” income (the “income test”) or (ii) 50% or more of the value of its assets (generally determined on the basis of a quarterly average) during such year is attributable to assets that produce or are held for the production of passive income (the “asset test”). For this purpose, cash and assets readily convertible into cash are categorized as passive assets and the company’s goodwill and other unbooked intangibles not reflected on its balance sheet are taken into account. Passive income generally includes, among other things, dividends, interest, income equivalent to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165"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Although the law in this regard is not entirely clear, we treat our consolidated VIE as being owned by us for U.S. federal income tax purposes because we control its management decisions and are entitled to substantially all of the economic benefits associated with it, and, as a result, we consolidate its results of operations in our consolidated U.S. GAAP financial statements. If it were determined, however, that we are not the owner of the consolidated VIE for U.S. federal income tax purposes, the composition of our income and assets would change and we may be treated as a PFIC for the current taxable year and any subsequent taxable year.</w:t>
      </w:r>
    </w:p>
    <w:p>
      <w:pPr>
        <w:spacing w:after="0" w:line="164"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Assuming that we are the owner of the VIE (including its subsidiaries) for United States federal income tax purposes, we do not believe we were a PFIC for the taxable year ended December 31, 2022, and based upon our current income and assets, including goodwill and other unbooked intangibles not reflected on our balance sheet, and the value of our ADSs, we do not anticipate becoming a PFIC in the current taxable year or in the foreseeable future. However, no assurance can be given in this regard because the determination of whether we are or will become a PFIC for any taxable year is a factual determination made annually that will depend, in part, upon the composition and classification of our income and assets. Furthermore, fluctuations in the market price of our ADSs may cause us to be classified as a PFIC for the current or future taxable years because the value of our assets for purposes of the asset test, including the value of our goodwill and other unbooked intangibles, may be determined by reference to the market price of our ADSs from time to time (which may be volatile). In particular, recent fluctuations in the market price of our ADSs increased our risk of becoming a PFIC. The market price of our ADSs may continue to fluctuate considerably and, consequently, we cannot assure you of our PFIC status for any taxable year. In addition, the composition of our income and assets may also be affected by how, and how quickly, we use our liquid assets.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classified as a PFIC may substantially increase.</w:t>
      </w:r>
    </w:p>
    <w:p>
      <w:pPr>
        <w:spacing w:after="0" w:line="168" w:lineRule="exact"/>
        <w:rPr>
          <w:sz w:val="20"/>
          <w:szCs w:val="20"/>
          <w:color w:val="auto"/>
        </w:rPr>
      </w:pPr>
    </w:p>
    <w:p>
      <w:pPr>
        <w:ind w:left="700" w:right="160" w:firstLine="393"/>
        <w:spacing w:after="0" w:line="284" w:lineRule="auto"/>
        <w:rPr>
          <w:sz w:val="20"/>
          <w:szCs w:val="20"/>
          <w:color w:val="auto"/>
        </w:rPr>
      </w:pPr>
      <w:r>
        <w:rPr>
          <w:rFonts w:ascii="Times New Roman" w:cs="Times New Roman" w:eastAsia="Times New Roman" w:hAnsi="Times New Roman"/>
          <w:sz w:val="16"/>
          <w:szCs w:val="16"/>
          <w:color w:val="auto"/>
        </w:rPr>
        <w:t>If we are a PFIC for any year during which a U.S. Holder holds our ADSs or common shares, we will generally continue to be treated as a PFIC for all succeeding years during which such U.S. Holder holds our ADSs or common shares.</w:t>
      </w:r>
    </w:p>
    <w:p>
      <w:pPr>
        <w:spacing w:after="0" w:line="143" w:lineRule="exact"/>
        <w:rPr>
          <w:sz w:val="20"/>
          <w:szCs w:val="20"/>
          <w:color w:val="auto"/>
        </w:rPr>
      </w:pPr>
    </w:p>
    <w:p>
      <w:pPr>
        <w:jc w:val="both"/>
        <w:ind w:left="700" w:right="40" w:firstLine="393"/>
        <w:spacing w:after="0" w:line="267" w:lineRule="auto"/>
        <w:rPr>
          <w:sz w:val="20"/>
          <w:szCs w:val="20"/>
          <w:color w:val="auto"/>
        </w:rPr>
      </w:pPr>
      <w:r>
        <w:rPr>
          <w:rFonts w:ascii="Times New Roman" w:cs="Times New Roman" w:eastAsia="Times New Roman" w:hAnsi="Times New Roman"/>
          <w:sz w:val="16"/>
          <w:szCs w:val="16"/>
          <w:color w:val="auto"/>
        </w:rPr>
        <w:t>The discussion below under “—Dividends” and “—Sale or Other Disposition” is written on the basis that we will not be or become classified as a PFIC for U.S. federal income tax purposes. The U.S. federal income tax rules that apply generally if we are treated as a PFIC are discussed below under “—Passive Foreign Investment Company Rules.”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151</w:t>
      </w:r>
    </w:p>
    <w:p>
      <w:pPr>
        <w:sectPr>
          <w:pgSz w:w="11900" w:h="16838" w:orient="portrait"/>
          <w:cols w:equalWidth="0" w:num="1">
            <w:col w:w="10520"/>
          </w:cols>
          <w:pgMar w:left="320" w:top="447" w:right="10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109"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The gross amount of any distributions paid on our ADSs or common shares (including the amount of any PRC tax withheld) out of our current or accumulated earnings and profits, as determined under U.S. federal income tax principles, will generally be includible in the gross income of a U.S. Holder as dividend income on the day actually or constructively received by the U.S. Holder, in the case of common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common shares will not be eligible for the dividends received deduction allowed to corporations in respect of dividends received from U.S. corporations.</w:t>
      </w:r>
    </w:p>
    <w:p>
      <w:pPr>
        <w:spacing w:after="0" w:line="163" w:lineRule="exact"/>
        <w:rPr>
          <w:sz w:val="20"/>
          <w:szCs w:val="20"/>
          <w:color w:val="auto"/>
        </w:rPr>
      </w:pPr>
    </w:p>
    <w:p>
      <w:pPr>
        <w:ind w:left="700" w:right="20" w:firstLine="393"/>
        <w:spacing w:after="0" w:line="254" w:lineRule="auto"/>
        <w:rPr>
          <w:sz w:val="20"/>
          <w:szCs w:val="20"/>
          <w:color w:val="auto"/>
        </w:rPr>
      </w:pPr>
      <w:r>
        <w:rPr>
          <w:rFonts w:ascii="Times New Roman" w:cs="Times New Roman" w:eastAsia="Times New Roman" w:hAnsi="Times New Roman"/>
          <w:sz w:val="16"/>
          <w:szCs w:val="16"/>
          <w:color w:val="auto"/>
        </w:rPr>
        <w:t>Individuals and other non-corporate U.S. Holders will be subject to tax on any such dividends at the lower capital gains tax rate applicable to “qualified dividend income,” provided that certain conditions are satisfied, including that (1) our ADSs or common shares on which the dividends are paid are readily tradable on an established securities market in the United States, or, in the event that we are deemed to be a PRC resident enterprise under the PRC Enterprise Income Tax Law, we are eligible for the benefit of the U.S.-PRC income tax treaty (the “Treaty”), (2) we are neither a PFIC nor treated as such with respect to a U.S. Holder (as discussed below) for the taxable year in which the dividend is paid and the preceding taxable year, and (3) certain holding period requirements are met. For this purpose, ADSs listed on the Nasdaq Global Market will generally be considered to be readily tradable on an established securities market in the United States. Since we do not expect that our common shares will be listed on an established securities market in the United States, it is unclear whether dividends that we pay on our common shares that are not represented by ADSs currently meet the conditions required for these reduced tax rates. In addition, however, as described above, in October 2022 we received communications from the Nasdaq notifying us that if we fail to satisfy such requirements and fail to regain compliance on a timely basis, our ADSs could be delisted from the Nasdaq Global Market. See “Item 3. Key Information—D. Risk Factors—Risk Factors Related to our ADSs.” If our ADSs are delisted from the Nasdaq Global Market and are not otherwise readily tradable on an established securities market in the United States, dividends received on our ADSs would generally not be eligible to be taxed as dividend income from a qualified foreign corporation. U.S. Holders are urged to consult their tax advisors regarding the availability of the lower rate for dividends paid with respect to our ADSs or common shares.</w:t>
      </w:r>
    </w:p>
    <w:p>
      <w:pPr>
        <w:spacing w:after="0" w:line="166" w:lineRule="exact"/>
        <w:rPr>
          <w:sz w:val="20"/>
          <w:szCs w:val="20"/>
          <w:color w:val="auto"/>
        </w:rPr>
      </w:pPr>
    </w:p>
    <w:p>
      <w:pPr>
        <w:jc w:val="both"/>
        <w:ind w:left="700" w:right="40" w:firstLine="393"/>
        <w:spacing w:after="0" w:line="262" w:lineRule="auto"/>
        <w:rPr>
          <w:sz w:val="20"/>
          <w:szCs w:val="20"/>
          <w:color w:val="auto"/>
        </w:rPr>
      </w:pPr>
      <w:r>
        <w:rPr>
          <w:rFonts w:ascii="Times New Roman" w:cs="Times New Roman" w:eastAsia="Times New Roman" w:hAnsi="Times New Roman"/>
          <w:sz w:val="16"/>
          <w:szCs w:val="16"/>
          <w:color w:val="auto"/>
        </w:rPr>
        <w:t>In the event that we are deemed to be a PRC resident enterprise under the PRC Enterprise Income Tax Law (see “Item 10. Additional Information —E. Taxation—People’s Republic of China Taxation”), we may be eligible for the benefits of the Treaty. If we are eligible for such benefits, dividends we pay on our common shares, regardless of whether such shares are represented by the ADSs, and regardless of whether our ADSs are readily tradable on an established securities market in the United States, would be eligible for the reduced rates of taxation described in the preceding paragraph.</w:t>
      </w:r>
    </w:p>
    <w:p>
      <w:pPr>
        <w:spacing w:after="0" w:line="161"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For U.S. foreign tax credit purposes, dividends paid on our ADSs or common shares will generally be treated as income from foreign sources and will generally constitute passive category income. In the event that we are deemed to be a PRC resident enterprise under the PRC Enterprise Income Tax Law, a U.S. Holder may be subject to PRC withholding taxes on dividends paid on our ADSs or common shares (see “Item 10. Additional Information —E. Taxation—People’s Republic of China Taxation”). Depending on the U.S. Holder’s particular facts and circumstances and subject to a number of complex conditions and limitations, PRC withholding taxes on dividends that are non-refundable under the Treaty may be treated as foreign taxes eligible for a foreign tax credit against a U.S. Holder’s U.S. federal income tax liability.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U.S. Holders are urged to consult their tax advisors regarding the availability of the foreign tax credit under their particular circumstances.</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Sale or Other Disposition</w:t>
      </w:r>
    </w:p>
    <w:p>
      <w:pPr>
        <w:spacing w:after="0" w:line="109" w:lineRule="exact"/>
        <w:rPr>
          <w:sz w:val="20"/>
          <w:szCs w:val="20"/>
          <w:color w:val="auto"/>
        </w:rPr>
      </w:pPr>
    </w:p>
    <w:p>
      <w:pPr>
        <w:ind w:left="700" w:right="120" w:firstLine="393"/>
        <w:spacing w:after="0" w:line="262" w:lineRule="auto"/>
        <w:rPr>
          <w:sz w:val="20"/>
          <w:szCs w:val="20"/>
          <w:color w:val="auto"/>
        </w:rPr>
      </w:pPr>
      <w:r>
        <w:rPr>
          <w:rFonts w:ascii="Times New Roman" w:cs="Times New Roman" w:eastAsia="Times New Roman" w:hAnsi="Times New Roman"/>
          <w:sz w:val="16"/>
          <w:szCs w:val="16"/>
          <w:color w:val="auto"/>
        </w:rPr>
        <w:t>A U.S. Holder will generally recognize gain or loss upon the sale or other disposition of ADSs or common shares in an amount equal to the difference between the amount realized upon the disposition and the holder’s adjusted tax basis in such ADSs or common shares. The gain or loss will generally be capital gain or loss. Any capital gain or loss will be long term if the ADSs or common shares have been held for more than one year at the time of disposition. The deductibility of a capital loss may be subject to limitations.</w:t>
      </w:r>
    </w:p>
    <w:p>
      <w:pPr>
        <w:spacing w:after="0" w:line="161" w:lineRule="exact"/>
        <w:rPr>
          <w:sz w:val="20"/>
          <w:szCs w:val="20"/>
          <w:color w:val="auto"/>
        </w:rPr>
      </w:pPr>
    </w:p>
    <w:p>
      <w:pPr>
        <w:ind w:left="700" w:right="40" w:firstLine="393"/>
        <w:spacing w:after="0" w:line="255" w:lineRule="auto"/>
        <w:rPr>
          <w:sz w:val="20"/>
          <w:szCs w:val="20"/>
          <w:color w:val="auto"/>
        </w:rPr>
      </w:pPr>
      <w:r>
        <w:rPr>
          <w:rFonts w:ascii="Times New Roman" w:cs="Times New Roman" w:eastAsia="Times New Roman" w:hAnsi="Times New Roman"/>
          <w:sz w:val="16"/>
          <w:szCs w:val="16"/>
          <w:color w:val="auto"/>
        </w:rPr>
        <w:t>As described in “Item 10. Additional Information—E. Taxation—People’s Republic of China Taxation,” if we are deemed to be a PRC resident enterprise under the PRC Enterprise Income Tax Law, gains from the disposition of the ADSs or common shares may be subject to PRC income tax and will generally be United States source, which may limit the ability to receive a foreign tax credit. If a U.S. Holder is eligible for the benefits of the Treaty, such holder may be able to elect to treat such gain as PRC source income under the Treaty. Pursuant to recently issued Treasury Regulations, however, if a U.S. Holder is not eligible for the benefits of the Treaty or does not elect to apply the Treaty, then such holder may not be able to claim a foreign tax credit arising from any PRC tax imposed on the disposition of the ADSs or common shares.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 and the potential impact of the recently issued United States Treasury regulations.</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152</w:t>
      </w:r>
    </w:p>
    <w:p>
      <w:pPr>
        <w:sectPr>
          <w:pgSz w:w="11900" w:h="16838" w:orient="portrait"/>
          <w:cols w:equalWidth="0" w:num="1">
            <w:col w:w="10520"/>
          </w:cols>
          <w:pgMar w:left="320" w:top="447" w:right="10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 Rules</w:t>
      </w:r>
    </w:p>
    <w:p>
      <w:pPr>
        <w:spacing w:after="0" w:line="109" w:lineRule="exact"/>
        <w:rPr>
          <w:sz w:val="20"/>
          <w:szCs w:val="20"/>
          <w:color w:val="auto"/>
        </w:rPr>
      </w:pPr>
    </w:p>
    <w:p>
      <w:pPr>
        <w:ind w:left="700" w:right="100" w:firstLine="393"/>
        <w:spacing w:after="0" w:line="258" w:lineRule="auto"/>
        <w:rPr>
          <w:sz w:val="20"/>
          <w:szCs w:val="20"/>
          <w:color w:val="auto"/>
        </w:rPr>
      </w:pPr>
      <w:r>
        <w:rPr>
          <w:rFonts w:ascii="Times New Roman" w:cs="Times New Roman" w:eastAsia="Times New Roman" w:hAnsi="Times New Roman"/>
          <w:sz w:val="16"/>
          <w:szCs w:val="16"/>
          <w:color w:val="auto"/>
        </w:rPr>
        <w:t>If we are classified as a PFIC for any taxable year during which a U.S. Holder holds our ADSs or common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to the U.S. Holder in the three preceding taxable years or, if shorter, the U.S. Holder’s holding period for the ADSs or common shares), and (ii) any gain recognized on the sale or other disposition (including, under certain circumstances, a pledge) of ADSs or common shares. Under the PFIC rules:</w:t>
      </w:r>
    </w:p>
    <w:p>
      <w:pPr>
        <w:spacing w:after="0" w:line="79" w:lineRule="exact"/>
        <w:rPr>
          <w:sz w:val="20"/>
          <w:szCs w:val="20"/>
          <w:color w:val="auto"/>
        </w:rPr>
      </w:pPr>
    </w:p>
    <w:p>
      <w:pPr>
        <w:ind w:left="1580" w:hanging="391"/>
        <w:spacing w:after="0"/>
        <w:tabs>
          <w:tab w:leader="none" w:pos="15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excess distribution or recognized gain will be allocated ratably over the U.S. Holder’s holding period for the ADSs or common shares;</w:t>
      </w:r>
    </w:p>
    <w:p>
      <w:pPr>
        <w:spacing w:after="0" w:line="117" w:lineRule="exact"/>
        <w:rPr>
          <w:rFonts w:ascii="Times New Roman" w:cs="Times New Roman" w:eastAsia="Times New Roman" w:hAnsi="Times New Roman"/>
          <w:sz w:val="16"/>
          <w:szCs w:val="16"/>
          <w:color w:val="auto"/>
        </w:rPr>
      </w:pPr>
    </w:p>
    <w:p>
      <w:pPr>
        <w:ind w:left="1580" w:hanging="391"/>
        <w:spacing w:after="0" w:line="267" w:lineRule="auto"/>
        <w:tabs>
          <w:tab w:leader="none" w:pos="15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the excess distribution or recognized gain allocated to the taxable year of the distribution or gain and any taxable years in the U.S. Holder’s holding period prior to the first taxable year in which we are classified as a PFIC (each, a “pre-PFIC year”), will be taxable as ordinary income; and</w:t>
      </w:r>
    </w:p>
    <w:p>
      <w:pPr>
        <w:spacing w:after="0" w:line="72" w:lineRule="exact"/>
        <w:rPr>
          <w:rFonts w:ascii="Times New Roman" w:cs="Times New Roman" w:eastAsia="Times New Roman" w:hAnsi="Times New Roman"/>
          <w:sz w:val="16"/>
          <w:szCs w:val="16"/>
          <w:color w:val="auto"/>
        </w:rPr>
      </w:pPr>
    </w:p>
    <w:p>
      <w:pPr>
        <w:jc w:val="both"/>
        <w:ind w:left="1580" w:right="100" w:hanging="391"/>
        <w:spacing w:after="0" w:line="267" w:lineRule="auto"/>
        <w:tabs>
          <w:tab w:leader="none" w:pos="15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the excess distribution or recognized gain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57" w:lineRule="exact"/>
        <w:rPr>
          <w:sz w:val="20"/>
          <w:szCs w:val="20"/>
          <w:color w:val="auto"/>
        </w:rPr>
      </w:pPr>
    </w:p>
    <w:p>
      <w:pPr>
        <w:ind w:left="700" w:right="180" w:firstLine="393"/>
        <w:spacing w:after="0" w:line="262" w:lineRule="auto"/>
        <w:rPr>
          <w:sz w:val="20"/>
          <w:szCs w:val="20"/>
          <w:color w:val="auto"/>
        </w:rPr>
      </w:pPr>
      <w:r>
        <w:rPr>
          <w:rFonts w:ascii="Times New Roman" w:cs="Times New Roman" w:eastAsia="Times New Roman" w:hAnsi="Times New Roman"/>
          <w:sz w:val="16"/>
          <w:szCs w:val="16"/>
          <w:color w:val="auto"/>
        </w:rPr>
        <w:t>If we are a PFIC for any taxable year during which a U.S. Holder holds our ADSs or common shares and any of our subsidiaries or other corporate entities in which we own equity interests, the VIE or any of the subsidiaries of the VIE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the VIE or any of the subsidiaries of the VIE.</w:t>
      </w:r>
    </w:p>
    <w:p>
      <w:pPr>
        <w:spacing w:after="0" w:line="161" w:lineRule="exact"/>
        <w:rPr>
          <w:sz w:val="20"/>
          <w:szCs w:val="20"/>
          <w:color w:val="auto"/>
        </w:rPr>
      </w:pPr>
    </w:p>
    <w:p>
      <w:pPr>
        <w:ind w:left="700" w:right="20" w:firstLine="393"/>
        <w:spacing w:after="0" w:line="254" w:lineRule="auto"/>
        <w:rPr>
          <w:sz w:val="20"/>
          <w:szCs w:val="20"/>
          <w:color w:val="auto"/>
        </w:rPr>
      </w:pPr>
      <w:r>
        <w:rPr>
          <w:rFonts w:ascii="Times New Roman" w:cs="Times New Roman" w:eastAsia="Times New Roman" w:hAnsi="Times New Roman"/>
          <w:sz w:val="16"/>
          <w:szCs w:val="16"/>
          <w:color w:val="auto"/>
        </w:rPr>
        <w:t>As an alternative to the foregoing rules, a U.S. Holder of “marketable stock” (as defined below) in a PFIC may make a mark-to-market election with respect to such stock. If a U.S. Holder makes this election with respect to our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72"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The mark-to-market election is available only for “marketable stock,” which is stock that is regularly traded on a qualified exchange or other market, as defined in applicable United States Treasury regulations. Our ADSs, but not our common shares, are listed on the Nasdaq Global Market, which is a qualified exchange for these purposes. We expect that our ADSs will be considered regularly traded, but no assurances may be given in this regard. However, as described above, in October 2022, we received communications from the Nasdaq notifying us that we were not in compliance with certain Nasdaq Global Market continued listing standards, and if we fail to satisfy such requirements and fail to regain compliance on a timely basis, our ADSs could be delisted from the Nasdaq Global Market. See “Item 3. Key Information—D. Risk Factors—Risks Related to our ADSs.” If our ADSs are delisted from the Nasdaq Global Market and are not otherwise listed on a qualified exchange or other market, as described above, our ADSs would not be treated as “marketable stock” for these purposes and a U.S. Holder would not be eligible to make a mark-to-market election with respect to our ADSs.</w:t>
      </w:r>
    </w:p>
    <w:p>
      <w:pPr>
        <w:spacing w:after="0" w:line="364" w:lineRule="exact"/>
        <w:rPr>
          <w:sz w:val="20"/>
          <w:szCs w:val="20"/>
          <w:color w:val="auto"/>
        </w:rPr>
      </w:pPr>
    </w:p>
    <w:p>
      <w:pPr>
        <w:ind w:left="700" w:right="40" w:firstLine="393"/>
        <w:spacing w:after="0" w:line="267" w:lineRule="auto"/>
        <w:rPr>
          <w:sz w:val="20"/>
          <w:szCs w:val="20"/>
          <w:color w:val="auto"/>
        </w:rPr>
      </w:pPr>
      <w:r>
        <w:rPr>
          <w:rFonts w:ascii="Times New Roman" w:cs="Times New Roman" w:eastAsia="Times New Roman" w:hAnsi="Times New Roman"/>
          <w:sz w:val="16"/>
          <w:szCs w:val="16"/>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57" w:lineRule="exact"/>
        <w:rPr>
          <w:sz w:val="20"/>
          <w:szCs w:val="20"/>
          <w:color w:val="auto"/>
        </w:rPr>
      </w:pPr>
    </w:p>
    <w:p>
      <w:pPr>
        <w:ind w:left="700" w:right="140" w:firstLine="393"/>
        <w:spacing w:after="0" w:line="284" w:lineRule="auto"/>
        <w:rPr>
          <w:sz w:val="20"/>
          <w:szCs w:val="20"/>
          <w:color w:val="auto"/>
        </w:rPr>
      </w:pPr>
      <w:r>
        <w:rPr>
          <w:rFonts w:ascii="Times New Roman" w:cs="Times New Roman" w:eastAsia="Times New Roman" w:hAnsi="Times New Roman"/>
          <w:sz w:val="16"/>
          <w:szCs w:val="16"/>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153</w:t>
      </w:r>
    </w:p>
    <w:p>
      <w:pPr>
        <w:sectPr>
          <w:pgSz w:w="11900" w:h="16838" w:orient="portrait"/>
          <w:cols w:equalWidth="0" w:num="1">
            <w:col w:w="10540"/>
          </w:cols>
          <w:pgMar w:left="320" w:top="447" w:right="10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60" w:firstLine="393"/>
        <w:spacing w:after="0" w:line="267" w:lineRule="auto"/>
        <w:rPr>
          <w:sz w:val="20"/>
          <w:szCs w:val="20"/>
          <w:color w:val="auto"/>
        </w:rPr>
      </w:pPr>
      <w:r>
        <w:rPr>
          <w:rFonts w:ascii="Times New Roman" w:cs="Times New Roman" w:eastAsia="Times New Roman" w:hAnsi="Times New Roman"/>
          <w:sz w:val="16"/>
          <w:szCs w:val="16"/>
          <w:color w:val="auto"/>
        </w:rPr>
        <w:t>If a U.S. Holder owns our ADSs or common shares during any taxable year that we are a PFIC, the holder must generally file an annual IRS Form 8621. You should consult your tax advisor regarding the U.S. federal income tax consequences of owning and disposing of our ADSs or common shares if we are or become a PFIC.</w:t>
      </w:r>
    </w:p>
    <w:p>
      <w:pPr>
        <w:spacing w:after="0" w:line="288" w:lineRule="exact"/>
        <w:rPr>
          <w:sz w:val="20"/>
          <w:szCs w:val="20"/>
          <w:color w:val="auto"/>
        </w:rPr>
      </w:pPr>
    </w:p>
    <w:p>
      <w:pPr>
        <w:ind w:left="1100" w:right="7400" w:hanging="393"/>
        <w:spacing w:after="0" w:line="412" w:lineRule="auto"/>
        <w:tabs>
          <w:tab w:leader="none" w:pos="1092" w:val="left"/>
        </w:tabs>
        <w:numPr>
          <w:ilvl w:val="0"/>
          <w:numId w:val="1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Dividends and Paying Agents </w:t>
      </w:r>
      <w:r>
        <w:rPr>
          <w:rFonts w:ascii="Times New Roman" w:cs="Times New Roman" w:eastAsia="Times New Roman" w:hAnsi="Times New Roman"/>
          <w:sz w:val="16"/>
          <w:szCs w:val="16"/>
          <w:color w:val="auto"/>
        </w:rPr>
        <w:t>Not applicable.</w:t>
      </w:r>
    </w:p>
    <w:p>
      <w:pPr>
        <w:spacing w:after="0" w:line="175" w:lineRule="exact"/>
        <w:rPr>
          <w:rFonts w:ascii="Times New Roman" w:cs="Times New Roman" w:eastAsia="Times New Roman" w:hAnsi="Times New Roman"/>
          <w:sz w:val="16"/>
          <w:szCs w:val="16"/>
          <w:b w:val="1"/>
          <w:bCs w:val="1"/>
          <w:color w:val="auto"/>
        </w:rPr>
      </w:pPr>
    </w:p>
    <w:p>
      <w:pPr>
        <w:ind w:left="1100" w:right="7920" w:hanging="393"/>
        <w:spacing w:after="0" w:line="412" w:lineRule="auto"/>
        <w:tabs>
          <w:tab w:leader="none" w:pos="1092" w:val="left"/>
        </w:tabs>
        <w:numPr>
          <w:ilvl w:val="0"/>
          <w:numId w:val="1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Statement by Experts </w:t>
      </w:r>
      <w:r>
        <w:rPr>
          <w:rFonts w:ascii="Times New Roman" w:cs="Times New Roman" w:eastAsia="Times New Roman" w:hAnsi="Times New Roman"/>
          <w:sz w:val="16"/>
          <w:szCs w:val="16"/>
          <w:color w:val="auto"/>
        </w:rPr>
        <w:t>Not applicable.</w:t>
      </w:r>
    </w:p>
    <w:p>
      <w:pPr>
        <w:spacing w:after="0" w:line="175" w:lineRule="exact"/>
        <w:rPr>
          <w:rFonts w:ascii="Times New Roman" w:cs="Times New Roman" w:eastAsia="Times New Roman" w:hAnsi="Times New Roman"/>
          <w:sz w:val="16"/>
          <w:szCs w:val="16"/>
          <w:b w:val="1"/>
          <w:bCs w:val="1"/>
          <w:color w:val="auto"/>
        </w:rPr>
      </w:pPr>
    </w:p>
    <w:p>
      <w:pPr>
        <w:ind w:left="1100" w:hanging="393"/>
        <w:spacing w:after="0"/>
        <w:tabs>
          <w:tab w:leader="none" w:pos="1100" w:val="left"/>
        </w:tabs>
        <w:numPr>
          <w:ilvl w:val="0"/>
          <w:numId w:val="1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Documents on Display</w:t>
      </w:r>
    </w:p>
    <w:p>
      <w:pPr>
        <w:spacing w:after="0" w:line="107" w:lineRule="exact"/>
        <w:rPr>
          <w:sz w:val="20"/>
          <w:szCs w:val="20"/>
          <w:color w:val="auto"/>
        </w:rPr>
      </w:pPr>
    </w:p>
    <w:p>
      <w:pPr>
        <w:ind w:left="700" w:right="100" w:firstLine="393"/>
        <w:spacing w:after="0" w:line="256" w:lineRule="auto"/>
        <w:rPr>
          <w:sz w:val="20"/>
          <w:szCs w:val="20"/>
          <w:color w:val="auto"/>
        </w:rPr>
      </w:pPr>
      <w:r>
        <w:rPr>
          <w:rFonts w:ascii="Times New Roman" w:cs="Times New Roman" w:eastAsia="Times New Roman" w:hAnsi="Times New Roman"/>
          <w:sz w:val="16"/>
          <w:szCs w:val="16"/>
          <w:color w:val="auto"/>
        </w:rPr>
        <w:t xml:space="preserve">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Times New Roman" w:cs="Times New Roman" w:eastAsia="Times New Roman" w:hAnsi="Times New Roman"/>
          <w:sz w:val="16"/>
          <w:szCs w:val="16"/>
          <w:u w:val="single" w:color="auto"/>
          <w:color w:val="auto"/>
        </w:rPr>
        <w:t>www.sec.gov</w:t>
      </w:r>
      <w:r>
        <w:rPr>
          <w:rFonts w:ascii="Times New Roman" w:cs="Times New Roman" w:eastAsia="Times New Roman" w:hAnsi="Times New Roman"/>
          <w:sz w:val="16"/>
          <w:szCs w:val="16"/>
          <w:color w:val="auto"/>
        </w:rPr>
        <w:t xml:space="preserve"> or inspected and copied at the public reference facilities maintained by the SEC at 100 F Street, N.E., Washington, D.C. 20549. The public may obtain information regarding the Washington, D.C. Public Reference Room by calling the SEC at 1-800-SEC-0330. The SEC also maintains a web site at </w:t>
      </w:r>
      <w:r>
        <w:rPr>
          <w:rFonts w:ascii="Times New Roman" w:cs="Times New Roman" w:eastAsia="Times New Roman" w:hAnsi="Times New Roman"/>
          <w:sz w:val="16"/>
          <w:szCs w:val="16"/>
          <w:u w:val="single" w:color="auto"/>
          <w:color w:val="auto"/>
        </w:rPr>
        <w:t>www.sec.gov</w:t>
      </w:r>
      <w:r>
        <w:rPr>
          <w:rFonts w:ascii="Times New Roman" w:cs="Times New Roman" w:eastAsia="Times New Roman" w:hAnsi="Times New Roman"/>
          <w:sz w:val="16"/>
          <w:szCs w:val="16"/>
          <w:color w:val="auto"/>
        </w:rPr>
        <w:t xml:space="preserve">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65" w:lineRule="exact"/>
        <w:rPr>
          <w:sz w:val="20"/>
          <w:szCs w:val="20"/>
          <w:color w:val="auto"/>
        </w:rPr>
      </w:pPr>
    </w:p>
    <w:p>
      <w:pPr>
        <w:ind w:left="700" w:right="60" w:firstLine="393"/>
        <w:spacing w:after="0" w:line="259" w:lineRule="auto"/>
        <w:rPr>
          <w:sz w:val="20"/>
          <w:szCs w:val="20"/>
          <w:color w:val="auto"/>
        </w:rPr>
      </w:pPr>
      <w:r>
        <w:rPr>
          <w:rFonts w:ascii="Times New Roman" w:cs="Times New Roman" w:eastAsia="Times New Roman" w:hAnsi="Times New Roman"/>
          <w:sz w:val="16"/>
          <w:szCs w:val="16"/>
          <w:color w:val="auto"/>
        </w:rPr>
        <w:t>We will furnish Citibank N.A.,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62" w:lineRule="exact"/>
        <w:rPr>
          <w:sz w:val="20"/>
          <w:szCs w:val="20"/>
          <w:color w:val="auto"/>
        </w:rPr>
      </w:pPr>
    </w:p>
    <w:p>
      <w:pPr>
        <w:ind w:left="700" w:right="120" w:firstLine="393"/>
        <w:spacing w:after="0" w:line="286" w:lineRule="auto"/>
        <w:rPr>
          <w:sz w:val="20"/>
          <w:szCs w:val="20"/>
          <w:color w:val="auto"/>
        </w:rPr>
      </w:pPr>
      <w:r>
        <w:rPr>
          <w:rFonts w:ascii="Times New Roman" w:cs="Times New Roman" w:eastAsia="Times New Roman" w:hAnsi="Times New Roman"/>
          <w:sz w:val="16"/>
          <w:szCs w:val="16"/>
          <w:color w:val="auto"/>
        </w:rPr>
        <w:t xml:space="preserve">In accordance with Nasdaq Stock Market Rule 5250(d), we will post this annual report on Form 20-F on our website at </w:t>
      </w:r>
      <w:r>
        <w:rPr>
          <w:rFonts w:ascii="Times New Roman" w:cs="Times New Roman" w:eastAsia="Times New Roman" w:hAnsi="Times New Roman"/>
          <w:sz w:val="16"/>
          <w:szCs w:val="16"/>
          <w:i w:val="1"/>
          <w:iCs w:val="1"/>
          <w:color w:val="auto"/>
        </w:rPr>
        <w:t>ir.huize.com.</w:t>
      </w:r>
      <w:r>
        <w:rPr>
          <w:rFonts w:ascii="Times New Roman" w:cs="Times New Roman" w:eastAsia="Times New Roman" w:hAnsi="Times New Roman"/>
          <w:sz w:val="16"/>
          <w:szCs w:val="16"/>
          <w:color w:val="auto"/>
        </w:rPr>
        <w:t xml:space="preserve"> In addition, we will provide hardcopies of our annual report free of charge to shareholders and ADS holders upon request.</w:t>
      </w:r>
    </w:p>
    <w:p>
      <w:pPr>
        <w:spacing w:after="0" w:line="272" w:lineRule="exact"/>
        <w:rPr>
          <w:sz w:val="20"/>
          <w:szCs w:val="20"/>
          <w:color w:val="auto"/>
        </w:rPr>
      </w:pPr>
    </w:p>
    <w:p>
      <w:pPr>
        <w:ind w:left="1100" w:right="7780" w:hanging="393"/>
        <w:spacing w:after="0" w:line="412" w:lineRule="auto"/>
        <w:tabs>
          <w:tab w:leader="none" w:pos="1092" w:val="left"/>
        </w:tabs>
        <w:numPr>
          <w:ilvl w:val="0"/>
          <w:numId w:val="1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Subsidiary Information </w:t>
      </w:r>
      <w:r>
        <w:rPr>
          <w:rFonts w:ascii="Times New Roman" w:cs="Times New Roman" w:eastAsia="Times New Roman" w:hAnsi="Times New Roman"/>
          <w:sz w:val="16"/>
          <w:szCs w:val="16"/>
          <w:color w:val="auto"/>
        </w:rPr>
        <w:t>Not applicable.</w:t>
      </w:r>
    </w:p>
    <w:p>
      <w:pPr>
        <w:spacing w:after="0" w:line="175" w:lineRule="exact"/>
        <w:rPr>
          <w:rFonts w:ascii="Times New Roman" w:cs="Times New Roman" w:eastAsia="Times New Roman" w:hAnsi="Times New Roman"/>
          <w:sz w:val="16"/>
          <w:szCs w:val="16"/>
          <w:b w:val="1"/>
          <w:bCs w:val="1"/>
          <w:color w:val="auto"/>
        </w:rPr>
      </w:pPr>
    </w:p>
    <w:p>
      <w:pPr>
        <w:ind w:left="1100" w:right="7000" w:hanging="393"/>
        <w:spacing w:after="0" w:line="412" w:lineRule="auto"/>
        <w:tabs>
          <w:tab w:leader="none" w:pos="1092" w:val="left"/>
        </w:tabs>
        <w:numPr>
          <w:ilvl w:val="0"/>
          <w:numId w:val="1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Annual Report to Security Holders </w:t>
      </w:r>
      <w:r>
        <w:rPr>
          <w:rFonts w:ascii="Times New Roman" w:cs="Times New Roman" w:eastAsia="Times New Roman" w:hAnsi="Times New Roman"/>
          <w:sz w:val="16"/>
          <w:szCs w:val="16"/>
          <w:color w:val="auto"/>
        </w:rPr>
        <w:t>Not applicable.</w:t>
      </w:r>
    </w:p>
    <w:p>
      <w:pPr>
        <w:spacing w:after="0" w:line="176" w:lineRule="exact"/>
        <w:rPr>
          <w:sz w:val="20"/>
          <w:szCs w:val="20"/>
          <w:color w:val="auto"/>
        </w:rPr>
      </w:pPr>
    </w:p>
    <w:p>
      <w:pPr>
        <w:ind w:left="700" w:right="3060"/>
        <w:spacing w:after="0" w:line="378" w:lineRule="auto"/>
        <w:rPr>
          <w:sz w:val="20"/>
          <w:szCs w:val="20"/>
          <w:color w:val="auto"/>
        </w:rPr>
      </w:pPr>
      <w:r>
        <w:rPr>
          <w:rFonts w:ascii="Times New Roman" w:cs="Times New Roman" w:eastAsia="Times New Roman" w:hAnsi="Times New Roman"/>
          <w:sz w:val="16"/>
          <w:szCs w:val="16"/>
          <w:b w:val="1"/>
          <w:bCs w:val="1"/>
          <w:color w:val="auto"/>
        </w:rPr>
        <w:t xml:space="preserve">ITEM 11. QUANTITATIVE AND QUALITATIVE DISCLOSURES ABOUT MARKET RISK </w:t>
      </w:r>
      <w:r>
        <w:rPr>
          <w:rFonts w:ascii="Times New Roman" w:cs="Times New Roman" w:eastAsia="Times New Roman" w:hAnsi="Times New Roman"/>
          <w:sz w:val="16"/>
          <w:szCs w:val="16"/>
          <w:b w:val="1"/>
          <w:bCs w:val="1"/>
          <w:i w:val="1"/>
          <w:iCs w:val="1"/>
          <w:color w:val="auto"/>
        </w:rPr>
        <w:t>Foreign Exchange Risk</w:t>
      </w:r>
    </w:p>
    <w:p>
      <w:pPr>
        <w:spacing w:after="0" w:line="1" w:lineRule="exact"/>
        <w:rPr>
          <w:sz w:val="20"/>
          <w:szCs w:val="20"/>
          <w:color w:val="auto"/>
        </w:rPr>
      </w:pPr>
    </w:p>
    <w:p>
      <w:pPr>
        <w:jc w:val="both"/>
        <w:ind w:left="700" w:right="240" w:firstLine="393"/>
        <w:spacing w:after="0" w:line="262" w:lineRule="auto"/>
        <w:rPr>
          <w:sz w:val="20"/>
          <w:szCs w:val="20"/>
          <w:color w:val="auto"/>
        </w:rPr>
      </w:pPr>
      <w:r>
        <w:rPr>
          <w:rFonts w:ascii="Times New Roman" w:cs="Times New Roman" w:eastAsia="Times New Roman" w:hAnsi="Times New Roman"/>
          <w:sz w:val="16"/>
          <w:szCs w:val="16"/>
          <w:color w:val="auto"/>
        </w:rPr>
        <w:t>Substantially all of our revenues and most of our expenses are denominated in RMB. We do not believe that we currently have any significant direct foreign exchange risk and have not used any derivative financial instruments to hedge exposure to such risk. Although our exposure to foreign exchange risks should be limited in general, the value of your investment in our ADSs will be affected by the exchange rate between U.S. dollar and Renminbi because the value of our business is effectively denominated in RMB, while our ADSs will be traded in U.S. dollars.</w:t>
      </w:r>
    </w:p>
    <w:p>
      <w:pPr>
        <w:spacing w:after="0" w:line="161"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The value of Renminbi against the U.S. dollar and other currencies may fluctuate and is affected by, among other things, changes in political and economic conditions and the foreign exchange policy adopted by the PRC government. 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common shares or ADSs, servicing our outstanding debt, or for other business purposes, appreciation of the U.S. dollar against the Renminbi would reduce the U.S. dollar amounts available to us.</w:t>
      </w:r>
    </w:p>
    <w:p>
      <w:pPr>
        <w:spacing w:after="0" w:line="3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154</w:t>
      </w:r>
    </w:p>
    <w:p>
      <w:pPr>
        <w:sectPr>
          <w:pgSz w:w="11900" w:h="16838" w:orient="portrait"/>
          <w:cols w:equalWidth="0" w:num="1">
            <w:col w:w="10500"/>
          </w:cols>
          <w:pgMar w:left="320" w:top="447" w:right="10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760" w:firstLine="393"/>
        <w:spacing w:after="0" w:line="262" w:lineRule="auto"/>
        <w:rPr>
          <w:sz w:val="20"/>
          <w:szCs w:val="20"/>
          <w:color w:val="auto"/>
        </w:rPr>
      </w:pPr>
      <w:r>
        <w:rPr>
          <w:rFonts w:ascii="Times New Roman" w:cs="Times New Roman" w:eastAsia="Times New Roman" w:hAnsi="Times New Roman"/>
          <w:sz w:val="16"/>
          <w:szCs w:val="16"/>
          <w:color w:val="auto"/>
        </w:rPr>
        <w:t>As of December 31, 2022, we had Renminbi-denominated cash and cash equivalents of RMB206.4 million (US$29.9 million). A 10% depreciation of Renminbi against the U.S. dollar based on the foreign exchange rate on December 30, 2022, would result in a decrease of US$2.9 million in cash and cash equivalents. A 10% appreciation of Renminbi against the U.S. dollar based on the foreign exchange rate on December 30, 2022, would result in an increase of US$2.9 million in cash and cash equivalents.</w:t>
      </w:r>
    </w:p>
    <w:p>
      <w:pPr>
        <w:spacing w:after="0" w:line="2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109" w:lineRule="exact"/>
        <w:rPr>
          <w:sz w:val="20"/>
          <w:szCs w:val="20"/>
          <w:color w:val="auto"/>
        </w:rPr>
      </w:pPr>
    </w:p>
    <w:p>
      <w:pPr>
        <w:ind w:left="700" w:right="40" w:firstLine="393"/>
        <w:spacing w:after="0" w:line="284" w:lineRule="auto"/>
        <w:rPr>
          <w:sz w:val="20"/>
          <w:szCs w:val="20"/>
          <w:color w:val="auto"/>
        </w:rPr>
      </w:pPr>
      <w:r>
        <w:rPr>
          <w:rFonts w:ascii="Times New Roman" w:cs="Times New Roman" w:eastAsia="Times New Roman" w:hAnsi="Times New Roman"/>
          <w:sz w:val="16"/>
          <w:szCs w:val="16"/>
          <w:color w:val="auto"/>
        </w:rPr>
        <w:t>Fluctuations in market interest rates may negatively affect our financial condition and results of operations. We have not been exposed to material risks due to changes in market interest rates as the borrowings held by us all bear interest at a fixed interest rate.</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Inflation</w:t>
      </w:r>
    </w:p>
    <w:p>
      <w:pPr>
        <w:spacing w:after="0" w:line="109" w:lineRule="exact"/>
        <w:rPr>
          <w:sz w:val="20"/>
          <w:szCs w:val="20"/>
          <w:color w:val="auto"/>
        </w:rPr>
      </w:pPr>
    </w:p>
    <w:p>
      <w:pPr>
        <w:ind w:left="700" w:right="80" w:firstLine="393"/>
        <w:spacing w:after="0" w:line="267" w:lineRule="auto"/>
        <w:rPr>
          <w:sz w:val="20"/>
          <w:szCs w:val="20"/>
          <w:color w:val="auto"/>
        </w:rPr>
      </w:pPr>
      <w:r>
        <w:rPr>
          <w:rFonts w:ascii="Times New Roman" w:cs="Times New Roman" w:eastAsia="Times New Roman" w:hAnsi="Times New Roman"/>
          <w:sz w:val="16"/>
          <w:szCs w:val="16"/>
          <w:color w:val="auto"/>
        </w:rPr>
        <w:t>To date, inflation in China has not materially affected our results of operations. According to the National Bureau of Statistics of China, the year-over-year percent changes in the consumer price index for December 2020, 2021 and 2022 were increases of 0.2%, 1.5% and 1.8%, respectively. Although we have not been materially affected by inflation in the past, we may be affected if China experiences higher rates of inflation in the future.</w:t>
      </w: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Seasonality</w:t>
      </w:r>
    </w:p>
    <w:p>
      <w:pPr>
        <w:spacing w:after="0" w:line="109"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We experience seasonality in our business. For example, we generally have more life and health insurance purchase orders in the first quarter of each year. On the other hand, for property &amp; casualty insurance products we offer on our platform, mostly consisted of travel insurance products, we experience more purchase orders in the third quarter, and the first and fourth quarters of each year are the low season for travel insurance products. As we are shifting to a product mix with more life and health insurance products focused, we expect that we will experience stronger influence of seasonality of life and health insurance products compared with property &amp; casualty insurance products. Overall, the historical seasonality of our business has been relatively mild due to our rapid growth in recent years, but may increase further in the future. Due to our limited operating history, the seasonal trends that we have experienced in the past may not apply to, or be indicative of, our future operating results. See “Item 3. Key Information— D. Risk Factors—Risks Relating to Our Business and Industry—Our business is subject to fluctuations, which makes our results of operations difficult to predict and may cause our quarterly results of operations to fall short of expectations.”</w:t>
      </w:r>
    </w:p>
    <w:p>
      <w:pPr>
        <w:spacing w:after="0" w:line="299"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DESCRIPTION OF SECURITIES OTHER THAN EQUITY SECURITIES</w:t>
      </w:r>
    </w:p>
    <w:p>
      <w:pPr>
        <w:spacing w:after="0" w:line="117" w:lineRule="exact"/>
        <w:rPr>
          <w:sz w:val="20"/>
          <w:szCs w:val="20"/>
          <w:color w:val="auto"/>
        </w:rPr>
      </w:pPr>
    </w:p>
    <w:p>
      <w:pPr>
        <w:jc w:val="both"/>
        <w:ind w:left="1100" w:right="8360" w:hanging="393"/>
        <w:spacing w:after="0" w:line="412" w:lineRule="auto"/>
        <w:tabs>
          <w:tab w:leader="none" w:pos="1092" w:val="left"/>
        </w:tabs>
        <w:numPr>
          <w:ilvl w:val="0"/>
          <w:numId w:val="1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Debt Securities </w:t>
      </w:r>
      <w:r>
        <w:rPr>
          <w:rFonts w:ascii="Times New Roman" w:cs="Times New Roman" w:eastAsia="Times New Roman" w:hAnsi="Times New Roman"/>
          <w:sz w:val="16"/>
          <w:szCs w:val="16"/>
          <w:color w:val="auto"/>
        </w:rPr>
        <w:t>Not applicable.</w:t>
      </w:r>
    </w:p>
    <w:p>
      <w:pPr>
        <w:spacing w:after="0" w:line="175" w:lineRule="exact"/>
        <w:rPr>
          <w:rFonts w:ascii="Times New Roman" w:cs="Times New Roman" w:eastAsia="Times New Roman" w:hAnsi="Times New Roman"/>
          <w:sz w:val="16"/>
          <w:szCs w:val="16"/>
          <w:b w:val="1"/>
          <w:bCs w:val="1"/>
          <w:color w:val="auto"/>
        </w:rPr>
      </w:pPr>
    </w:p>
    <w:p>
      <w:pPr>
        <w:ind w:left="1100" w:right="7960" w:hanging="393"/>
        <w:spacing w:after="0" w:line="456" w:lineRule="auto"/>
        <w:tabs>
          <w:tab w:leader="none" w:pos="1092" w:val="left"/>
        </w:tabs>
        <w:numPr>
          <w:ilvl w:val="0"/>
          <w:numId w:val="11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Warrants and Rights </w:t>
      </w:r>
      <w:r>
        <w:rPr>
          <w:rFonts w:ascii="Times New Roman" w:cs="Times New Roman" w:eastAsia="Times New Roman" w:hAnsi="Times New Roman"/>
          <w:sz w:val="15"/>
          <w:szCs w:val="15"/>
          <w:color w:val="auto"/>
        </w:rPr>
        <w:t>Not applicable.</w:t>
      </w:r>
    </w:p>
    <w:p>
      <w:pPr>
        <w:spacing w:after="0" w:line="151" w:lineRule="exact"/>
        <w:rPr>
          <w:rFonts w:ascii="Times New Roman" w:cs="Times New Roman" w:eastAsia="Times New Roman" w:hAnsi="Times New Roman"/>
          <w:sz w:val="15"/>
          <w:szCs w:val="15"/>
          <w:b w:val="1"/>
          <w:bCs w:val="1"/>
          <w:color w:val="auto"/>
        </w:rPr>
      </w:pPr>
    </w:p>
    <w:p>
      <w:pPr>
        <w:ind w:left="1100" w:right="8280" w:hanging="393"/>
        <w:spacing w:after="0" w:line="402" w:lineRule="auto"/>
        <w:tabs>
          <w:tab w:leader="none" w:pos="1092" w:val="left"/>
        </w:tabs>
        <w:numPr>
          <w:ilvl w:val="0"/>
          <w:numId w:val="1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Other Securities </w:t>
      </w:r>
      <w:r>
        <w:rPr>
          <w:rFonts w:ascii="Times New Roman" w:cs="Times New Roman" w:eastAsia="Times New Roman" w:hAnsi="Times New Roman"/>
          <w:sz w:val="16"/>
          <w:szCs w:val="16"/>
          <w:color w:val="auto"/>
        </w:rPr>
        <w:t>Not applicable.</w:t>
      </w:r>
    </w:p>
    <w:p>
      <w:pPr>
        <w:ind w:left="5500"/>
        <w:spacing w:after="0"/>
        <w:rPr>
          <w:sz w:val="20"/>
          <w:szCs w:val="20"/>
          <w:color w:val="auto"/>
        </w:rPr>
      </w:pPr>
      <w:r>
        <w:rPr>
          <w:rFonts w:ascii="Times New Roman" w:cs="Times New Roman" w:eastAsia="Times New Roman" w:hAnsi="Times New Roman"/>
          <w:sz w:val="16"/>
          <w:szCs w:val="16"/>
          <w:color w:val="auto"/>
        </w:rPr>
        <w:t>155</w:t>
      </w:r>
    </w:p>
    <w:p>
      <w:pPr>
        <w:sectPr>
          <w:pgSz w:w="11900" w:h="16838" w:orient="portrait"/>
          <w:cols w:equalWidth="0" w:num="1">
            <w:col w:w="10500"/>
          </w:cols>
          <w:pgMar w:left="320" w:top="447" w:right="10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1100" w:hanging="393"/>
        <w:spacing w:after="0"/>
        <w:tabs>
          <w:tab w:leader="none" w:pos="1100"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American Depositary Shares</w:t>
      </w:r>
    </w:p>
    <w:p>
      <w:pPr>
        <w:spacing w:after="0" w:line="1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Fees and Charges Our ADS holders May Have to Pay</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As an ADS holder, you will be required to pay the following fees under the terms of the deposit agreement:</w:t>
      </w:r>
    </w:p>
    <w:p>
      <w:pPr>
        <w:spacing w:after="0" w:line="220" w:lineRule="exact"/>
        <w:rPr>
          <w:sz w:val="20"/>
          <w:szCs w:val="20"/>
          <w:color w:val="auto"/>
        </w:rPr>
      </w:pPr>
    </w:p>
    <w:tbl>
      <w:tblPr>
        <w:tblLayout w:type="fixed"/>
        <w:tblInd w:w="1100" w:type="dxa"/>
        <w:tblCellMar>
          <w:top w:w="0" w:type="dxa"/>
          <w:left w:w="0" w:type="dxa"/>
          <w:bottom w:w="0" w:type="dxa"/>
          <w:right w:w="0" w:type="dxa"/>
        </w:tblCellMar>
      </w:tblPr>
      <w:tr>
        <w:trPr>
          <w:trHeight w:val="167"/>
        </w:trPr>
        <w:tc>
          <w:tcPr>
            <w:tcW w:w="4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Service</w:t>
            </w:r>
          </w:p>
        </w:tc>
        <w:tc>
          <w:tcPr>
            <w:tcW w:w="4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Fees</w:t>
            </w:r>
          </w:p>
        </w:tc>
      </w:tr>
      <w:tr>
        <w:trPr>
          <w:trHeight w:val="168"/>
        </w:trPr>
        <w:tc>
          <w:tcPr>
            <w:tcW w:w="20" w:type="dxa"/>
            <w:vAlign w:val="bottom"/>
          </w:tcPr>
          <w:p>
            <w:pPr>
              <w:spacing w:after="0"/>
              <w:rPr>
                <w:sz w:val="14"/>
                <w:szCs w:val="14"/>
                <w:color w:val="auto"/>
              </w:rPr>
            </w:pPr>
          </w:p>
        </w:tc>
        <w:tc>
          <w:tcPr>
            <w:tcW w:w="480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6"/>
                <w:szCs w:val="16"/>
                <w:color w:val="auto"/>
              </w:rPr>
              <w:t>Issuance of ADSs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an issuance of ADS upon a deposit of Class A</w:t>
            </w:r>
          </w:p>
        </w:tc>
        <w:tc>
          <w:tcPr>
            <w:tcW w:w="100" w:type="dxa"/>
            <w:vAlign w:val="bottom"/>
          </w:tcPr>
          <w:p>
            <w:pPr>
              <w:spacing w:after="0"/>
              <w:rPr>
                <w:sz w:val="14"/>
                <w:szCs w:val="14"/>
                <w:color w:val="auto"/>
              </w:rPr>
            </w:pPr>
          </w:p>
        </w:tc>
        <w:tc>
          <w:tcPr>
            <w:tcW w:w="452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6"/>
                <w:szCs w:val="16"/>
                <w:color w:val="auto"/>
              </w:rPr>
              <w:t>Up to US$5.00 per 100 ADSs (or fraction thereof) issued</w:t>
            </w:r>
          </w:p>
        </w:tc>
      </w:tr>
      <w:tr>
        <w:trPr>
          <w:trHeight w:val="193"/>
        </w:trPr>
        <w:tc>
          <w:tcPr>
            <w:tcW w:w="20" w:type="dxa"/>
            <w:vAlign w:val="bottom"/>
          </w:tcPr>
          <w:p>
            <w:pPr>
              <w:spacing w:after="0"/>
              <w:rPr>
                <w:sz w:val="16"/>
                <w:szCs w:val="16"/>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common shares, upon a change in the ADS(s)-to-Shares ratio, or for any</w:t>
            </w:r>
          </w:p>
        </w:tc>
        <w:tc>
          <w:tcPr>
            <w:tcW w:w="45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reason), excluding ADS issuances as a result of distributions of</w:t>
            </w:r>
          </w:p>
        </w:tc>
        <w:tc>
          <w:tcPr>
            <w:tcW w:w="45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Class A common shares</w:t>
            </w:r>
          </w:p>
        </w:tc>
        <w:tc>
          <w:tcPr>
            <w:tcW w:w="4520" w:type="dxa"/>
            <w:vAlign w:val="bottom"/>
          </w:tcPr>
          <w:p>
            <w:pPr>
              <w:spacing w:after="0"/>
              <w:rPr>
                <w:sz w:val="18"/>
                <w:szCs w:val="18"/>
                <w:color w:val="auto"/>
              </w:rPr>
            </w:pPr>
          </w:p>
        </w:tc>
      </w:tr>
      <w:tr>
        <w:trPr>
          <w:trHeight w:val="273"/>
        </w:trPr>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Cancellation of ADSs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a cancellation of ADSs for delivery of</w:t>
            </w: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Up to US$5.00 per 100 ADSs (or fraction thereof) canceled</w:t>
            </w:r>
          </w:p>
        </w:tc>
      </w:tr>
      <w:tr>
        <w:trPr>
          <w:trHeight w:val="193"/>
        </w:trPr>
        <w:tc>
          <w:tcPr>
            <w:tcW w:w="20" w:type="dxa"/>
            <w:vAlign w:val="bottom"/>
          </w:tcPr>
          <w:p>
            <w:pPr>
              <w:spacing w:after="0"/>
              <w:rPr>
                <w:sz w:val="16"/>
                <w:szCs w:val="16"/>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deposited property, upon a change in the ADS(s)-to-Shares ratio, or for</w:t>
            </w:r>
          </w:p>
        </w:tc>
        <w:tc>
          <w:tcPr>
            <w:tcW w:w="45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any other reason)</w:t>
            </w:r>
          </w:p>
        </w:tc>
        <w:tc>
          <w:tcPr>
            <w:tcW w:w="4520" w:type="dxa"/>
            <w:vAlign w:val="bottom"/>
          </w:tcPr>
          <w:p>
            <w:pPr>
              <w:spacing w:after="0"/>
              <w:rPr>
                <w:sz w:val="18"/>
                <w:szCs w:val="18"/>
                <w:color w:val="auto"/>
              </w:rPr>
            </w:pPr>
          </w:p>
        </w:tc>
      </w:tr>
      <w:tr>
        <w:trPr>
          <w:trHeight w:val="273"/>
        </w:trPr>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Distribution of cash dividends or other cash distributions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upon a sale</w:t>
            </w: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Up to US$5.00 per 100 ADSs (or fraction thereof) held</w:t>
            </w:r>
          </w:p>
        </w:tc>
      </w:tr>
      <w:tr>
        <w:trPr>
          <w:trHeight w:val="209"/>
        </w:trPr>
        <w:tc>
          <w:tcPr>
            <w:tcW w:w="2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of rights and other entitlements)</w:t>
            </w:r>
          </w:p>
        </w:tc>
        <w:tc>
          <w:tcPr>
            <w:tcW w:w="4520" w:type="dxa"/>
            <w:vAlign w:val="bottom"/>
          </w:tcPr>
          <w:p>
            <w:pPr>
              <w:spacing w:after="0"/>
              <w:rPr>
                <w:sz w:val="18"/>
                <w:szCs w:val="18"/>
                <w:color w:val="auto"/>
              </w:rPr>
            </w:pPr>
          </w:p>
        </w:tc>
      </w:tr>
      <w:tr>
        <w:trPr>
          <w:trHeight w:val="273"/>
        </w:trPr>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Distribution of ADSs pursuant to (i) stock dividends or other free stock</w:t>
            </w: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Up to US$5.00 per 100 ADSs (or fraction thereof) held</w:t>
            </w:r>
          </w:p>
        </w:tc>
      </w:tr>
      <w:tr>
        <w:trPr>
          <w:trHeight w:val="209"/>
        </w:trPr>
        <w:tc>
          <w:tcPr>
            <w:tcW w:w="2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distributions, or (ii) exercise of rights to purchase additional ADSs</w:t>
            </w:r>
          </w:p>
        </w:tc>
        <w:tc>
          <w:tcPr>
            <w:tcW w:w="4520" w:type="dxa"/>
            <w:vAlign w:val="bottom"/>
          </w:tcPr>
          <w:p>
            <w:pPr>
              <w:spacing w:after="0"/>
              <w:rPr>
                <w:sz w:val="18"/>
                <w:szCs w:val="18"/>
                <w:color w:val="auto"/>
              </w:rPr>
            </w:pPr>
          </w:p>
        </w:tc>
      </w:tr>
      <w:tr>
        <w:trPr>
          <w:trHeight w:val="271"/>
        </w:trPr>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Distribution of securities other than ADSs or rights to purchase additional</w:t>
            </w: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Up to US$5.00 per 100 ADSs (or fraction thereof) held</w:t>
            </w:r>
          </w:p>
        </w:tc>
      </w:tr>
      <w:tr>
        <w:trPr>
          <w:trHeight w:val="211"/>
        </w:trPr>
        <w:tc>
          <w:tcPr>
            <w:tcW w:w="2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ADSs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upon a spin-off)</w:t>
            </w:r>
          </w:p>
        </w:tc>
        <w:tc>
          <w:tcPr>
            <w:tcW w:w="4520" w:type="dxa"/>
            <w:vAlign w:val="bottom"/>
          </w:tcPr>
          <w:p>
            <w:pPr>
              <w:spacing w:after="0"/>
              <w:rPr>
                <w:sz w:val="18"/>
                <w:szCs w:val="18"/>
                <w:color w:val="auto"/>
              </w:rPr>
            </w:pPr>
          </w:p>
        </w:tc>
      </w:tr>
      <w:tr>
        <w:trPr>
          <w:trHeight w:val="273"/>
        </w:trPr>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ADS Services</w:t>
            </w: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Up to US$5.00 per 100 ADSs (or fraction thereof) held on the</w:t>
            </w:r>
          </w:p>
        </w:tc>
      </w:tr>
      <w:tr>
        <w:trPr>
          <w:trHeight w:val="209"/>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applicable record date(s) established by the depositary</w:t>
            </w:r>
          </w:p>
        </w:tc>
      </w:tr>
      <w:tr>
        <w:trPr>
          <w:trHeight w:val="273"/>
        </w:trPr>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Registration of ADS transfers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upon a registration of the transfer of</w:t>
            </w: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Up to U.S. 50 per ADS (or fraction thereof) transferred</w:t>
            </w:r>
          </w:p>
        </w:tc>
      </w:tr>
      <w:tr>
        <w:trPr>
          <w:trHeight w:val="193"/>
        </w:trPr>
        <w:tc>
          <w:tcPr>
            <w:tcW w:w="20" w:type="dxa"/>
            <w:vAlign w:val="bottom"/>
          </w:tcPr>
          <w:p>
            <w:pPr>
              <w:spacing w:after="0"/>
              <w:rPr>
                <w:sz w:val="16"/>
                <w:szCs w:val="16"/>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registered ownership of ADSs, upon a transfer of ADSs into DTC and</w:t>
            </w:r>
          </w:p>
        </w:tc>
        <w:tc>
          <w:tcPr>
            <w:tcW w:w="45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vice versa, or for any other reason)</w:t>
            </w:r>
          </w:p>
        </w:tc>
        <w:tc>
          <w:tcPr>
            <w:tcW w:w="4520" w:type="dxa"/>
            <w:vAlign w:val="bottom"/>
          </w:tcPr>
          <w:p>
            <w:pPr>
              <w:spacing w:after="0"/>
              <w:rPr>
                <w:sz w:val="18"/>
                <w:szCs w:val="18"/>
                <w:color w:val="auto"/>
              </w:rPr>
            </w:pPr>
          </w:p>
        </w:tc>
      </w:tr>
      <w:tr>
        <w:trPr>
          <w:trHeight w:val="273"/>
        </w:trPr>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Conversion of ADSs of one series for ADSs of another series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upon</w:t>
            </w: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Up to US$5.00 per 100 ADS (or fraction thereof) converted</w:t>
            </w:r>
          </w:p>
        </w:tc>
      </w:tr>
      <w:tr>
        <w:trPr>
          <w:trHeight w:val="193"/>
        </w:trPr>
        <w:tc>
          <w:tcPr>
            <w:tcW w:w="20" w:type="dxa"/>
            <w:vAlign w:val="bottom"/>
          </w:tcPr>
          <w:p>
            <w:pPr>
              <w:spacing w:after="0"/>
              <w:rPr>
                <w:sz w:val="16"/>
                <w:szCs w:val="16"/>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conversion of Partial Entitlement ADSs for Full Entitlement ADSs, or</w:t>
            </w:r>
          </w:p>
        </w:tc>
        <w:tc>
          <w:tcPr>
            <w:tcW w:w="452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upon conversion of Restricted ADSs (each as defined in the Deposit</w:t>
            </w:r>
          </w:p>
        </w:tc>
        <w:tc>
          <w:tcPr>
            <w:tcW w:w="4520" w:type="dxa"/>
            <w:vAlign w:val="bottom"/>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xml:space="preserve">Agreement) into freely transferable ADSs, and </w:t>
            </w:r>
            <w:r>
              <w:rPr>
                <w:rFonts w:ascii="Times New Roman" w:cs="Times New Roman" w:eastAsia="Times New Roman" w:hAnsi="Times New Roman"/>
                <w:sz w:val="16"/>
                <w:szCs w:val="16"/>
                <w:i w:val="1"/>
                <w:iCs w:val="1"/>
                <w:color w:val="auto"/>
              </w:rPr>
              <w:t>vice versa</w:t>
            </w:r>
            <w:r>
              <w:rPr>
                <w:rFonts w:ascii="Times New Roman" w:cs="Times New Roman" w:eastAsia="Times New Roman" w:hAnsi="Times New Roman"/>
                <w:sz w:val="16"/>
                <w:szCs w:val="16"/>
                <w:color w:val="auto"/>
              </w:rPr>
              <w:t>).</w:t>
            </w:r>
          </w:p>
        </w:tc>
        <w:tc>
          <w:tcPr>
            <w:tcW w:w="4520" w:type="dxa"/>
            <w:vAlign w:val="bottom"/>
          </w:tcPr>
          <w:p>
            <w:pPr>
              <w:spacing w:after="0"/>
              <w:rPr>
                <w:sz w:val="18"/>
                <w:szCs w:val="18"/>
                <w:color w:val="auto"/>
              </w:rPr>
            </w:pPr>
          </w:p>
        </w:tc>
      </w:tr>
    </w:tbl>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As an ADS holder you will also be responsible to pay certain charges such as:</w:t>
      </w:r>
    </w:p>
    <w:p>
      <w:pPr>
        <w:spacing w:after="0" w:line="117" w:lineRule="exact"/>
        <w:rPr>
          <w:sz w:val="20"/>
          <w:szCs w:val="20"/>
          <w:color w:val="auto"/>
        </w:rPr>
      </w:pPr>
    </w:p>
    <w:p>
      <w:pPr>
        <w:ind w:left="1580" w:hanging="391"/>
        <w:spacing w:after="0"/>
        <w:tabs>
          <w:tab w:leader="none" w:pos="15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taxes (including applicable interest and penalties) and other governmental charges;</w:t>
      </w:r>
    </w:p>
    <w:p>
      <w:pPr>
        <w:spacing w:after="0" w:line="117" w:lineRule="exact"/>
        <w:rPr>
          <w:rFonts w:ascii="Times New Roman" w:cs="Times New Roman" w:eastAsia="Times New Roman" w:hAnsi="Times New Roman"/>
          <w:sz w:val="16"/>
          <w:szCs w:val="16"/>
          <w:color w:val="auto"/>
        </w:rPr>
      </w:pPr>
    </w:p>
    <w:p>
      <w:pPr>
        <w:ind w:left="1580" w:right="40" w:hanging="391"/>
        <w:spacing w:after="0" w:line="267" w:lineRule="auto"/>
        <w:tabs>
          <w:tab w:leader="none" w:pos="15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fees as may from time to time be in effect for the registration of Class A common shares on the share register and applicable to transfers of Class A common shares to or from the name of the custodian, the depositary or any nominees upon the making of deposits and withdrawals, respectively;</w:t>
      </w:r>
    </w:p>
    <w:p>
      <w:pPr>
        <w:spacing w:after="0" w:line="72" w:lineRule="exact"/>
        <w:rPr>
          <w:rFonts w:ascii="Times New Roman" w:cs="Times New Roman" w:eastAsia="Times New Roman" w:hAnsi="Times New Roman"/>
          <w:sz w:val="16"/>
          <w:szCs w:val="16"/>
          <w:color w:val="auto"/>
        </w:rPr>
      </w:pPr>
    </w:p>
    <w:p>
      <w:pPr>
        <w:ind w:left="1580" w:hanging="391"/>
        <w:spacing w:after="0"/>
        <w:tabs>
          <w:tab w:leader="none" w:pos="15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cable, telex and facsimile transmission and delivery expenses;</w:t>
      </w:r>
    </w:p>
    <w:p>
      <w:pPr>
        <w:spacing w:after="0" w:line="117" w:lineRule="exact"/>
        <w:rPr>
          <w:rFonts w:ascii="Times New Roman" w:cs="Times New Roman" w:eastAsia="Times New Roman" w:hAnsi="Times New Roman"/>
          <w:sz w:val="16"/>
          <w:szCs w:val="16"/>
          <w:color w:val="auto"/>
        </w:rPr>
      </w:pPr>
    </w:p>
    <w:p>
      <w:pPr>
        <w:ind w:left="1580" w:right="60" w:hanging="391"/>
        <w:spacing w:after="0" w:line="284" w:lineRule="auto"/>
        <w:tabs>
          <w:tab w:leader="none" w:pos="15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fees, expenses, spreads, taxes and other charges of the depositary and/or service providers (which may be a division, branch or affiliate of the depositary) in the conversion of foreign currency;</w:t>
      </w:r>
    </w:p>
    <w:p>
      <w:pPr>
        <w:spacing w:after="0" w:line="58" w:lineRule="exact"/>
        <w:rPr>
          <w:rFonts w:ascii="Times New Roman" w:cs="Times New Roman" w:eastAsia="Times New Roman" w:hAnsi="Times New Roman"/>
          <w:sz w:val="16"/>
          <w:szCs w:val="16"/>
          <w:color w:val="auto"/>
        </w:rPr>
      </w:pPr>
    </w:p>
    <w:p>
      <w:pPr>
        <w:jc w:val="both"/>
        <w:ind w:left="1580" w:right="320" w:hanging="391"/>
        <w:spacing w:after="0" w:line="267" w:lineRule="auto"/>
        <w:tabs>
          <w:tab w:leader="none" w:pos="15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reasonable and customary out-of-pocket expenses incurred by the depositary in connection with compliance with exchange control regulations and other regulatory requirements applicable to Class A common shares, ADSs and ADRs; and the fees, charges, costs and expenses incurred by the depositary, the custodian, or any nominee in connection with the ADR program.</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156</w:t>
      </w:r>
    </w:p>
    <w:p>
      <w:pPr>
        <w:sectPr>
          <w:pgSz w:w="11900" w:h="16838" w:orient="portrait"/>
          <w:cols w:equalWidth="0" w:num="1">
            <w:col w:w="10540"/>
          </w:cols>
          <w:pgMar w:left="320" w:top="447" w:right="10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firstLine="393"/>
        <w:spacing w:after="0" w:line="253" w:lineRule="auto"/>
        <w:rPr>
          <w:sz w:val="20"/>
          <w:szCs w:val="20"/>
          <w:color w:val="auto"/>
        </w:rPr>
      </w:pPr>
      <w:r>
        <w:rPr>
          <w:rFonts w:ascii="Times New Roman" w:cs="Times New Roman" w:eastAsia="Times New Roman" w:hAnsi="Times New Roman"/>
          <w:sz w:val="16"/>
          <w:szCs w:val="16"/>
          <w:color w:val="auto"/>
        </w:rPr>
        <w:t>ADS fees and charges for (i) the issuance of ADSs, and (ii) the cancellation of ADSs are charged to the person for whom the ADSs are issued (in the case of ADS issuances) and to the person for whom ADSs are canceled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3" w:lineRule="exact"/>
        <w:rPr>
          <w:sz w:val="20"/>
          <w:szCs w:val="20"/>
          <w:color w:val="auto"/>
        </w:rPr>
      </w:pPr>
    </w:p>
    <w:p>
      <w:pPr>
        <w:jc w:val="both"/>
        <w:ind w:left="700" w:right="80" w:firstLine="7"/>
        <w:spacing w:after="0" w:line="257" w:lineRule="auto"/>
        <w:tabs>
          <w:tab w:leader="none" w:pos="892"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64" w:lineRule="exact"/>
        <w:rPr>
          <w:sz w:val="20"/>
          <w:szCs w:val="20"/>
          <w:color w:val="auto"/>
        </w:rPr>
      </w:pPr>
    </w:p>
    <w:p>
      <w:pPr>
        <w:ind w:left="700" w:right="100" w:firstLine="393"/>
        <w:spacing w:after="0" w:line="262" w:lineRule="auto"/>
        <w:rPr>
          <w:sz w:val="20"/>
          <w:szCs w:val="20"/>
          <w:color w:val="auto"/>
        </w:rPr>
      </w:pPr>
      <w:r>
        <w:rPr>
          <w:rFonts w:ascii="Times New Roman" w:cs="Times New Roman" w:eastAsia="Times New Roman" w:hAnsi="Times New Roman"/>
          <w:sz w:val="16"/>
          <w:szCs w:val="16"/>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Fees and Other Payments Made by the Depositary to Us</w:t>
      </w:r>
    </w:p>
    <w:p>
      <w:pPr>
        <w:spacing w:after="0" w:line="107" w:lineRule="exact"/>
        <w:rPr>
          <w:sz w:val="20"/>
          <w:szCs w:val="20"/>
          <w:color w:val="auto"/>
        </w:rPr>
      </w:pPr>
    </w:p>
    <w:p>
      <w:pPr>
        <w:ind w:left="700" w:right="160" w:firstLine="393"/>
        <w:spacing w:after="0" w:line="284" w:lineRule="auto"/>
        <w:rPr>
          <w:sz w:val="20"/>
          <w:szCs w:val="20"/>
          <w:color w:val="auto"/>
        </w:rPr>
      </w:pPr>
      <w:r>
        <w:rPr>
          <w:rFonts w:ascii="Times New Roman" w:cs="Times New Roman" w:eastAsia="Times New Roman" w:hAnsi="Times New Roman"/>
          <w:sz w:val="16"/>
          <w:szCs w:val="16"/>
          <w:color w:val="auto"/>
        </w:rPr>
        <w:t>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157</w:t>
      </w:r>
    </w:p>
    <w:p>
      <w:pPr>
        <w:sectPr>
          <w:pgSz w:w="11900" w:h="16838" w:orient="portrait"/>
          <w:cols w:equalWidth="0" w:num="1">
            <w:col w:w="10480"/>
          </w:cols>
          <w:pgMar w:left="320" w:top="447" w:right="10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26"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5"/>
          <w:szCs w:val="15"/>
          <w:b w:val="1"/>
          <w:bCs w:val="1"/>
          <w:color w:val="auto"/>
        </w:rPr>
        <w:t>DEFAULTS, DIVIDEND ARREARAGES AND DELINQUENCIES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None.</w:t>
      </w:r>
    </w:p>
    <w:p>
      <w:pPr>
        <w:spacing w:after="0" w:line="332" w:lineRule="exact"/>
        <w:rPr>
          <w:sz w:val="20"/>
          <w:szCs w:val="20"/>
          <w:color w:val="auto"/>
        </w:rPr>
      </w:pPr>
    </w:p>
    <w:p>
      <w:pPr>
        <w:ind w:left="700" w:right="500"/>
        <w:spacing w:after="0" w:line="378" w:lineRule="auto"/>
        <w:rPr>
          <w:sz w:val="20"/>
          <w:szCs w:val="20"/>
          <w:color w:val="auto"/>
        </w:rPr>
      </w:pPr>
      <w:r>
        <w:rPr>
          <w:rFonts w:ascii="Times New Roman" w:cs="Times New Roman" w:eastAsia="Times New Roman" w:hAnsi="Times New Roman"/>
          <w:sz w:val="16"/>
          <w:szCs w:val="16"/>
          <w:b w:val="1"/>
          <w:bCs w:val="1"/>
          <w:color w:val="auto"/>
        </w:rPr>
        <w:t>ITEM 14 MATERIAL MODIFICATIONS TO THE RIGHTS OF SECURITY HOLDERS AND USE OF PROCEEDS MATERIAL Modifications to the Rights of Security Holders</w:t>
      </w:r>
    </w:p>
    <w:p>
      <w:pPr>
        <w:spacing w:after="0" w:line="1" w:lineRule="exact"/>
        <w:rPr>
          <w:sz w:val="20"/>
          <w:szCs w:val="20"/>
          <w:color w:val="auto"/>
        </w:rPr>
      </w:pPr>
    </w:p>
    <w:p>
      <w:pPr>
        <w:ind w:left="700" w:right="520" w:firstLine="393"/>
        <w:spacing w:after="0" w:line="284" w:lineRule="auto"/>
        <w:rPr>
          <w:sz w:val="20"/>
          <w:szCs w:val="20"/>
          <w:color w:val="auto"/>
        </w:rPr>
      </w:pPr>
      <w:r>
        <w:rPr>
          <w:rFonts w:ascii="Times New Roman" w:cs="Times New Roman" w:eastAsia="Times New Roman" w:hAnsi="Times New Roman"/>
          <w:sz w:val="16"/>
          <w:szCs w:val="16"/>
          <w:color w:val="auto"/>
        </w:rPr>
        <w:t>See “Item 10—Additional Information—B. Memorandum and Articles of Association—Common Shares” for a description of the rights of securities holders, which remain unchanged.</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07" w:lineRule="exact"/>
        <w:rPr>
          <w:sz w:val="20"/>
          <w:szCs w:val="20"/>
          <w:color w:val="auto"/>
        </w:rPr>
      </w:pPr>
    </w:p>
    <w:p>
      <w:pPr>
        <w:ind w:left="700" w:right="40" w:firstLine="393"/>
        <w:spacing w:after="0" w:line="254" w:lineRule="auto"/>
        <w:rPr>
          <w:sz w:val="20"/>
          <w:szCs w:val="20"/>
          <w:color w:val="auto"/>
        </w:rPr>
      </w:pPr>
      <w:r>
        <w:rPr>
          <w:rFonts w:ascii="Times New Roman" w:cs="Times New Roman" w:eastAsia="Times New Roman" w:hAnsi="Times New Roman"/>
          <w:sz w:val="16"/>
          <w:szCs w:val="16"/>
          <w:color w:val="auto"/>
        </w:rPr>
        <w:t>The following “Use of Proceeds” information relates to the registration statement on Form F-1, as amended (File number: 333-233614) in relation to the initial public offering of 5,250,000 ADSs representing 105,000,000 of our Class A common shares, at an initial offering price of US$10.5 per ADS. Our initial public offering closed in February 2020. Citigroup Global Markets Inc. and China International Capital Corporation Hong Kong Securities Limited were the representatives of the underwriters for our initial public offering. Counting in the ADSs sold upon the partial exercise of the over-allotment option by our underwriters, we offered and sold 5,322,453 ADSs and received net proceeds of approximately US$47.7 million, after deducting underwriting discounts and commissions and estimated offering expenses payable by us. The registration statement was declared effective by the SEC on February 11, 2020. None of the transaction expenses included payments to directors or officers of our company or their associates, persons owning more than 10% or more of our equity securities or our affiliates. None of the net proceeds we received from the initial public offering were paid, directly or indirectly, to any of our directors or officers or their associates, persons owning 10% or more of our equity securities or our affiliates. As of December 31, 2022, we had used approximately 65% of the net proceeds from our initial public offering. We still intend to use the proceeds from our initial public offering as disclosed in our registration statement on Form F-1.</w:t>
      </w:r>
    </w:p>
    <w:p>
      <w:pPr>
        <w:spacing w:after="0" w:line="302"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07" w:lineRule="exact"/>
        <w:rPr>
          <w:sz w:val="20"/>
          <w:szCs w:val="20"/>
          <w:color w:val="auto"/>
        </w:rPr>
      </w:pPr>
    </w:p>
    <w:p>
      <w:pPr>
        <w:ind w:left="700" w:firstLine="393"/>
        <w:spacing w:after="0" w:line="267"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co-chief financial officers,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57" w:lineRule="exact"/>
        <w:rPr>
          <w:sz w:val="20"/>
          <w:szCs w:val="20"/>
          <w:color w:val="auto"/>
        </w:rPr>
      </w:pPr>
    </w:p>
    <w:p>
      <w:pPr>
        <w:ind w:left="700" w:right="20" w:firstLine="393"/>
        <w:spacing w:after="0" w:line="259" w:lineRule="auto"/>
        <w:rPr>
          <w:sz w:val="20"/>
          <w:szCs w:val="20"/>
          <w:color w:val="auto"/>
        </w:rPr>
      </w:pPr>
      <w:r>
        <w:rPr>
          <w:rFonts w:ascii="Times New Roman" w:cs="Times New Roman" w:eastAsia="Times New Roman" w:hAnsi="Times New Roman"/>
          <w:sz w:val="16"/>
          <w:szCs w:val="16"/>
          <w:color w:val="auto"/>
        </w:rPr>
        <w:t>Based upon that evaluation, our management has concluded that, due to the outstanding material weakness described below, as of December 31, 2022, our disclosure controls and procedures were not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co-chief financial officers, to allow timely decisions regarding required disclosure.</w:t>
      </w: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107" w:lineRule="exact"/>
        <w:rPr>
          <w:sz w:val="20"/>
          <w:szCs w:val="20"/>
          <w:color w:val="auto"/>
        </w:rPr>
      </w:pPr>
    </w:p>
    <w:p>
      <w:pPr>
        <w:ind w:left="700" w:right="160" w:firstLine="393"/>
        <w:spacing w:after="0" w:line="255"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our financial reporting and the preparation of financial statements for external purposes in accordance with Generally Accepted Accounting Principles (GAAP) in the United States of America and includes those policies and procedures that (1) pertain to the maintenance of records that, in reasonable detail, accurately and fairly reflect the transactions and dispositions of the assets of our company;</w:t>
      </w:r>
    </w:p>
    <w:p>
      <w:pPr>
        <w:spacing w:after="0" w:line="3" w:lineRule="exact"/>
        <w:rPr>
          <w:sz w:val="20"/>
          <w:szCs w:val="20"/>
          <w:color w:val="auto"/>
        </w:rPr>
      </w:pPr>
    </w:p>
    <w:p>
      <w:pPr>
        <w:ind w:left="700" w:firstLine="7"/>
        <w:spacing w:after="0" w:line="255" w:lineRule="auto"/>
        <w:tabs>
          <w:tab w:leader="none" w:pos="927"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that transactions are recorded as necessary to permit preparation of consolidated financial statements in accordance with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158</w:t>
      </w:r>
    </w:p>
    <w:p>
      <w:pPr>
        <w:sectPr>
          <w:pgSz w:w="11900" w:h="16838" w:orient="portrait"/>
          <w:cols w:equalWidth="0" w:num="1">
            <w:col w:w="10540"/>
          </w:cols>
          <w:pgMar w:left="320" w:top="447" w:right="10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jc w:val="both"/>
        <w:ind w:left="700" w:right="20" w:firstLine="393"/>
        <w:spacing w:after="0" w:line="26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all potential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57" w:lineRule="exact"/>
        <w:rPr>
          <w:sz w:val="20"/>
          <w:szCs w:val="20"/>
          <w:color w:val="auto"/>
        </w:rPr>
      </w:pPr>
    </w:p>
    <w:p>
      <w:pPr>
        <w:ind w:left="700" w:right="60" w:firstLine="393"/>
        <w:spacing w:after="0" w:line="259" w:lineRule="auto"/>
        <w:rPr>
          <w:sz w:val="20"/>
          <w:szCs w:val="20"/>
          <w:color w:val="auto"/>
        </w:rPr>
      </w:pPr>
      <w:r>
        <w:rPr>
          <w:rFonts w:ascii="Times New Roman" w:cs="Times New Roman" w:eastAsia="Times New Roman" w:hAnsi="Times New Roman"/>
          <w:sz w:val="16"/>
          <w:szCs w:val="16"/>
          <w:color w:val="auto"/>
        </w:rPr>
        <w:t>As required by Section 404 of the Sarbanes-Oxley Act of 2002 and related rules as promulgated by the Securities and Exchange Commission, our management, including our chief executive officer and co-chief financial officers, assessed the effectiveness of internal control over financial reporting as of December 31, 2022, using the criteria set forth in the report “Internal Control—Integrated Framework (2013)” published by the Committee of Sponsoring Organizations of the Treadway Commission. Based on this evaluation, the management concluded that our internal control over financial reporting was ineffective as of December 31, 2022, because of the material weakness described below.</w:t>
      </w:r>
    </w:p>
    <w:p>
      <w:pPr>
        <w:spacing w:after="0" w:line="164" w:lineRule="exact"/>
        <w:rPr>
          <w:sz w:val="20"/>
          <w:szCs w:val="20"/>
          <w:color w:val="auto"/>
        </w:rPr>
      </w:pPr>
    </w:p>
    <w:p>
      <w:pPr>
        <w:ind w:left="700" w:right="20" w:firstLine="393"/>
        <w:spacing w:after="0" w:line="259" w:lineRule="auto"/>
        <w:rPr>
          <w:sz w:val="20"/>
          <w:szCs w:val="20"/>
          <w:color w:val="auto"/>
        </w:rPr>
      </w:pPr>
      <w:r>
        <w:rPr>
          <w:rFonts w:ascii="Times New Roman" w:cs="Times New Roman" w:eastAsia="Times New Roman" w:hAnsi="Times New Roman"/>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 identified relates to lack of sufficient and competent financial reporting and accounting personnel with appropriate knowledge of U.S. GAAP and SEC reporting requirements to formalize key controls over financial reporting and to prepare consolidated financial statements and related disclosures in accordance with U.S. GAAP and SEC financial reporting requirements.</w:t>
      </w:r>
    </w:p>
    <w:p>
      <w:pPr>
        <w:spacing w:after="0" w:line="164"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We have implemented and plan to implement a number of measures to address the material weakness, including: (i) recruiting more financial reporting and accounting personnel who have adequate U.S. GAAP knowledge, (ii) implementing regular and continuous U.S. GAAP accounting and financial reporting training programs for our accounting and financial reporting personnel. During the year ended December 31, 2022, we arranged formal training sessions related to recent U.S. GAAP development and SEC reporting updates for our accounting and financial reporting personnel; in addition, our key personnel in the financial reporting team has started to prepare to take the AICPA examinations; (iii) planning to hire additional resources to strengthen the financial reporting function and set up a financial and system control framework, and (iv) establishing effective oversight and clarifying reporting requirements for non-recurring and complex transactions to ensure consolidated financial statements and related disclosures are accurate, complete and in compliance with U.S. GAAP and SEC reporting requirements. However, we cannot assure you that we will remediate our material weakness in a timely manner, or at all. See “Item 3. Key Information—D. Risk Factors—Risks Relating to Our Business and Industry—If we fail to maintain an effective system of internal control over financial reporting, we may be unable to accurately report our financial results.”</w:t>
      </w:r>
    </w:p>
    <w:p>
      <w:pPr>
        <w:spacing w:after="0" w:line="166" w:lineRule="exact"/>
        <w:rPr>
          <w:sz w:val="20"/>
          <w:szCs w:val="20"/>
          <w:color w:val="auto"/>
        </w:rPr>
      </w:pPr>
    </w:p>
    <w:p>
      <w:pPr>
        <w:ind w:left="700" w:right="220" w:firstLine="393"/>
        <w:spacing w:after="0" w:line="262" w:lineRule="auto"/>
        <w:rPr>
          <w:sz w:val="20"/>
          <w:szCs w:val="20"/>
          <w:color w:val="auto"/>
        </w:rPr>
      </w:pPr>
      <w:r>
        <w:rPr>
          <w:rFonts w:ascii="Times New Roman" w:cs="Times New Roman" w:eastAsia="Times New Roman" w:hAnsi="Times New Roman"/>
          <w:sz w:val="16"/>
          <w:szCs w:val="16"/>
          <w:color w:val="auto"/>
        </w:rPr>
        <w:t>As a company with less than US$1.235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Attestation Report of the Registered Public Accounting Firm</w:t>
      </w:r>
    </w:p>
    <w:p>
      <w:pPr>
        <w:spacing w:after="0" w:line="107" w:lineRule="exact"/>
        <w:rPr>
          <w:sz w:val="20"/>
          <w:szCs w:val="20"/>
          <w:color w:val="auto"/>
        </w:rPr>
      </w:pPr>
    </w:p>
    <w:p>
      <w:pPr>
        <w:ind w:left="700" w:right="320" w:firstLine="393"/>
        <w:spacing w:after="0" w:line="267" w:lineRule="auto"/>
        <w:rPr>
          <w:sz w:val="20"/>
          <w:szCs w:val="20"/>
          <w:color w:val="auto"/>
        </w:rPr>
      </w:pPr>
      <w:r>
        <w:rPr>
          <w:rFonts w:ascii="Times New Roman" w:cs="Times New Roman" w:eastAsia="Times New Roman" w:hAnsi="Times New Roman"/>
          <w:sz w:val="16"/>
          <w:szCs w:val="16"/>
          <w:color w:val="auto"/>
        </w:rPr>
        <w:t>This annual report does not include an attestation report of our independent registered public accounting firm regarding internal control over financial reporting as we qualify as an “emerging growth company” under section 3(a) of the Securities Exchange Act of 1934, as amended, and are therefore exempt from the attestation requirement.</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Changes in Internal Control</w:t>
      </w:r>
    </w:p>
    <w:p>
      <w:pPr>
        <w:spacing w:after="0" w:line="107" w:lineRule="exact"/>
        <w:rPr>
          <w:sz w:val="20"/>
          <w:szCs w:val="20"/>
          <w:color w:val="auto"/>
        </w:rPr>
      </w:pPr>
    </w:p>
    <w:p>
      <w:pPr>
        <w:jc w:val="both"/>
        <w:ind w:left="700" w:right="140" w:firstLine="393"/>
        <w:spacing w:after="0" w:line="284" w:lineRule="auto"/>
        <w:rPr>
          <w:sz w:val="20"/>
          <w:szCs w:val="20"/>
          <w:color w:val="auto"/>
        </w:rPr>
      </w:pPr>
      <w:r>
        <w:rPr>
          <w:rFonts w:ascii="Times New Roman" w:cs="Times New Roman" w:eastAsia="Times New Roman" w:hAnsi="Times New Roman"/>
          <w:sz w:val="16"/>
          <w:szCs w:val="16"/>
          <w:color w:val="auto"/>
        </w:rPr>
        <w:t>Other than as described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159</w:t>
      </w:r>
    </w:p>
    <w:p>
      <w:pPr>
        <w:sectPr>
          <w:pgSz w:w="11900" w:h="16838" w:orient="portrait"/>
          <w:cols w:equalWidth="0" w:num="1">
            <w:col w:w="10540"/>
          </w:cols>
          <w:pgMar w:left="320" w:top="447" w:right="10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ITEM 2.</w:t>
      </w:r>
    </w:p>
    <w:p>
      <w:pPr>
        <w:spacing w:after="0" w:line="117"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16.A.</w:t>
        <w:tab/>
        <w:t>AUDIT COMMITTEE FINANCIAL EXPERT</w:t>
      </w:r>
    </w:p>
    <w:p>
      <w:pPr>
        <w:spacing w:after="0" w:line="107" w:lineRule="exact"/>
        <w:rPr>
          <w:sz w:val="20"/>
          <w:szCs w:val="20"/>
          <w:color w:val="auto"/>
        </w:rPr>
      </w:pPr>
    </w:p>
    <w:p>
      <w:pPr>
        <w:jc w:val="both"/>
        <w:ind w:left="700" w:right="80" w:firstLine="393"/>
        <w:spacing w:after="0" w:line="284" w:lineRule="auto"/>
        <w:rPr>
          <w:sz w:val="20"/>
          <w:szCs w:val="20"/>
          <w:color w:val="auto"/>
        </w:rPr>
      </w:pPr>
      <w:r>
        <w:rPr>
          <w:rFonts w:ascii="Times New Roman" w:cs="Times New Roman" w:eastAsia="Times New Roman" w:hAnsi="Times New Roman"/>
          <w:sz w:val="16"/>
          <w:szCs w:val="16"/>
          <w:color w:val="auto"/>
        </w:rPr>
        <w:t>Our board of directors has determined that Mr. Bin Wei, a member of our audit committee and independent director (under the standards set forth in Nasdaq Stock Market Rule 5605(a)(2) and Rule 10A-3 under the Exchange Act), is an audit committee financial expert.</w:t>
      </w:r>
    </w:p>
    <w:p>
      <w:pPr>
        <w:spacing w:after="0" w:line="274"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16.B.</w:t>
        <w:tab/>
        <w:t>CODE OF ETHICS</w:t>
      </w:r>
    </w:p>
    <w:p>
      <w:pPr>
        <w:spacing w:after="0" w:line="107" w:lineRule="exact"/>
        <w:rPr>
          <w:sz w:val="20"/>
          <w:szCs w:val="20"/>
          <w:color w:val="auto"/>
        </w:rPr>
      </w:pPr>
    </w:p>
    <w:p>
      <w:pPr>
        <w:jc w:val="both"/>
        <w:ind w:left="700" w:right="60" w:firstLine="393"/>
        <w:spacing w:after="0" w:line="267" w:lineRule="auto"/>
        <w:rPr>
          <w:sz w:val="20"/>
          <w:szCs w:val="20"/>
          <w:color w:val="auto"/>
        </w:rPr>
      </w:pPr>
      <w:r>
        <w:rPr>
          <w:rFonts w:ascii="Times New Roman" w:cs="Times New Roman" w:eastAsia="Times New Roman" w:hAnsi="Times New Roman"/>
          <w:sz w:val="16"/>
          <w:szCs w:val="16"/>
          <w:color w:val="auto"/>
        </w:rPr>
        <w:t>Our board of directors has adopted a code of ethics that applies to all of the directors, officers and employees of our company, whether they work for the Company on a full-time, part-time, consultative or temporary basis. We have filed our code of business conduct and ethics as Exhibit 99.1 to our registration statement on Form F-1 (File Number 333-199996), as amended, initially filed with the SEC on September 4, 2019.</w:t>
      </w:r>
    </w:p>
    <w:p>
      <w:pPr>
        <w:spacing w:after="0" w:line="288"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16.C.</w:t>
      </w:r>
      <w:r>
        <w:rPr>
          <w:sz w:val="20"/>
          <w:szCs w:val="20"/>
          <w:color w:val="auto"/>
        </w:rPr>
        <w:tab/>
      </w:r>
      <w:r>
        <w:rPr>
          <w:rFonts w:ascii="Times New Roman" w:cs="Times New Roman" w:eastAsia="Times New Roman" w:hAnsi="Times New Roman"/>
          <w:sz w:val="15"/>
          <w:szCs w:val="15"/>
          <w:b w:val="1"/>
          <w:bCs w:val="1"/>
          <w:color w:val="auto"/>
        </w:rPr>
        <w:t>PRINCIPAL ACCOUNTANT FEES AND SERVICES</w:t>
      </w:r>
    </w:p>
    <w:p>
      <w:pPr>
        <w:spacing w:after="0" w:line="107" w:lineRule="exact"/>
        <w:rPr>
          <w:sz w:val="20"/>
          <w:szCs w:val="20"/>
          <w:color w:val="auto"/>
        </w:rPr>
      </w:pPr>
    </w:p>
    <w:p>
      <w:pPr>
        <w:ind w:left="700" w:right="100" w:firstLine="393"/>
        <w:spacing w:after="0" w:line="267" w:lineRule="auto"/>
        <w:rPr>
          <w:sz w:val="20"/>
          <w:szCs w:val="20"/>
          <w:color w:val="auto"/>
        </w:rPr>
      </w:pPr>
      <w:r>
        <w:rPr>
          <w:rFonts w:ascii="Times New Roman" w:cs="Times New Roman" w:eastAsia="Times New Roman" w:hAnsi="Times New Roman"/>
          <w:sz w:val="16"/>
          <w:szCs w:val="16"/>
          <w:color w:val="auto"/>
        </w:rPr>
        <w:t>The following table sets forth the aggregate fees by the categories specified below in connection with certain professional services rendered by PricewaterhouseCoopers Zhong Tian LLP and its affiliates, our principal external auditors, for the years indicated. We did not pay any other fees to our principal external auditors during the years indicated below.</w:t>
      </w:r>
    </w:p>
    <w:p>
      <w:pPr>
        <w:spacing w:after="0" w:line="175"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3"/>
          <w:szCs w:val="13"/>
          <w:b w:val="1"/>
          <w:bCs w:val="1"/>
          <w:color w:val="auto"/>
        </w:rPr>
        <w:t>For the Year Ended</w:t>
      </w:r>
    </w:p>
    <w:p>
      <w:pPr>
        <w:jc w:val="center"/>
        <w:ind w:left="5940"/>
        <w:spacing w:after="0" w:line="222" w:lineRule="auto"/>
        <w:rPr>
          <w:sz w:val="20"/>
          <w:szCs w:val="20"/>
          <w:color w:val="auto"/>
        </w:rPr>
      </w:pPr>
      <w:r>
        <w:rPr>
          <w:rFonts w:ascii="Times New Roman" w:cs="Times New Roman" w:eastAsia="Times New Roman" w:hAnsi="Times New Roman"/>
          <w:sz w:val="13"/>
          <w:szCs w:val="13"/>
          <w:b w:val="1"/>
          <w:bCs w:val="1"/>
          <w:color w:val="auto"/>
        </w:rPr>
        <w:t>December 31,</w:t>
      </w:r>
    </w:p>
    <w:tbl>
      <w:tblPr>
        <w:tblLayout w:type="fixed"/>
        <w:tblInd w:w="1880" w:type="dxa"/>
        <w:tblCellMar>
          <w:top w:w="0" w:type="dxa"/>
          <w:left w:w="0" w:type="dxa"/>
          <w:bottom w:w="0" w:type="dxa"/>
          <w:right w:w="0" w:type="dxa"/>
        </w:tblCellMar>
      </w:tblPr>
      <w:tr>
        <w:trPr>
          <w:trHeight w:val="125"/>
        </w:trPr>
        <w:tc>
          <w:tcPr>
            <w:tcW w:w="600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ind w:right="305"/>
              <w:spacing w:after="0" w:line="125" w:lineRule="exact"/>
              <w:rPr>
                <w:sz w:val="20"/>
                <w:szCs w:val="20"/>
                <w:color w:val="auto"/>
              </w:rPr>
            </w:pPr>
            <w:r>
              <w:rPr>
                <w:rFonts w:ascii="Times New Roman" w:cs="Times New Roman" w:eastAsia="Times New Roman" w:hAnsi="Times New Roman"/>
                <w:sz w:val="13"/>
                <w:szCs w:val="13"/>
                <w:b w:val="1"/>
                <w:bCs w:val="1"/>
                <w:color w:val="auto"/>
              </w:rPr>
              <w:t>2021</w:t>
            </w:r>
          </w:p>
        </w:tc>
        <w:tc>
          <w:tcPr>
            <w:tcW w:w="660" w:type="dxa"/>
            <w:vAlign w:val="bottom"/>
            <w:tcBorders>
              <w:top w:val="single" w:sz="8" w:color="auto"/>
              <w:bottom w:val="single" w:sz="8" w:color="auto"/>
            </w:tcBorders>
          </w:tcPr>
          <w:p>
            <w:pPr>
              <w:jc w:val="right"/>
              <w:ind w:right="83"/>
              <w:spacing w:after="0" w:line="125" w:lineRule="exact"/>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0"/>
                <w:szCs w:val="10"/>
                <w:color w:val="auto"/>
              </w:rPr>
            </w:pPr>
          </w:p>
        </w:tc>
      </w:tr>
      <w:tr>
        <w:trPr>
          <w:trHeight w:val="125"/>
        </w:trPr>
        <w:tc>
          <w:tcPr>
            <w:tcW w:w="6000" w:type="dxa"/>
            <w:vAlign w:val="bottom"/>
          </w:tcPr>
          <w:p>
            <w:pPr>
              <w:spacing w:after="0"/>
              <w:rPr>
                <w:sz w:val="10"/>
                <w:szCs w:val="10"/>
                <w:color w:val="auto"/>
              </w:rPr>
            </w:pPr>
          </w:p>
        </w:tc>
        <w:tc>
          <w:tcPr>
            <w:tcW w:w="1440" w:type="dxa"/>
            <w:vAlign w:val="bottom"/>
            <w:gridSpan w:val="2"/>
          </w:tcPr>
          <w:p>
            <w:pPr>
              <w:jc w:val="right"/>
              <w:ind w:right="23"/>
              <w:spacing w:after="0" w:line="125" w:lineRule="exact"/>
              <w:rPr>
                <w:sz w:val="20"/>
                <w:szCs w:val="20"/>
                <w:color w:val="auto"/>
              </w:rPr>
            </w:pPr>
            <w:r>
              <w:rPr>
                <w:rFonts w:ascii="Times New Roman" w:cs="Times New Roman" w:eastAsia="Times New Roman" w:hAnsi="Times New Roman"/>
                <w:sz w:val="13"/>
                <w:szCs w:val="13"/>
                <w:b w:val="1"/>
                <w:bCs w:val="1"/>
                <w:color w:val="auto"/>
              </w:rPr>
              <w:t>(in thousands of RMB)</w:t>
            </w:r>
          </w:p>
        </w:tc>
        <w:tc>
          <w:tcPr>
            <w:tcW w:w="40" w:type="dxa"/>
            <w:vAlign w:val="bottom"/>
          </w:tcPr>
          <w:p>
            <w:pPr>
              <w:spacing w:after="0"/>
              <w:rPr>
                <w:sz w:val="10"/>
                <w:szCs w:val="10"/>
                <w:color w:val="auto"/>
              </w:rPr>
            </w:pPr>
          </w:p>
        </w:tc>
      </w:tr>
      <w:tr>
        <w:trPr>
          <w:trHeight w:val="193"/>
        </w:trPr>
        <w:tc>
          <w:tcPr>
            <w:tcW w:w="60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5"/>
                <w:szCs w:val="15"/>
                <w:color w:val="auto"/>
              </w:rPr>
              <w:t>Audit-related fees</w:t>
            </w:r>
            <w:r>
              <w:rPr>
                <w:rFonts w:ascii="Times New Roman" w:cs="Times New Roman" w:eastAsia="Times New Roman" w:hAnsi="Times New Roman"/>
                <w:sz w:val="22"/>
                <w:szCs w:val="22"/>
                <w:color w:val="auto"/>
                <w:vertAlign w:val="superscript"/>
              </w:rPr>
              <w:t>(1)</w:t>
            </w:r>
          </w:p>
        </w:tc>
        <w:tc>
          <w:tcPr>
            <w:tcW w:w="7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5,150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5,250</w:t>
            </w:r>
          </w:p>
        </w:tc>
      </w:tr>
      <w:tr>
        <w:trPr>
          <w:trHeight w:val="193"/>
        </w:trPr>
        <w:tc>
          <w:tcPr>
            <w:tcW w:w="6000" w:type="dxa"/>
            <w:vAlign w:val="bottom"/>
          </w:tcPr>
          <w:p>
            <w:pPr>
              <w:spacing w:after="0" w:line="192" w:lineRule="exact"/>
              <w:rPr>
                <w:sz w:val="20"/>
                <w:szCs w:val="20"/>
                <w:color w:val="auto"/>
              </w:rPr>
            </w:pPr>
            <w:r>
              <w:rPr>
                <w:rFonts w:ascii="Times New Roman" w:cs="Times New Roman" w:eastAsia="Times New Roman" w:hAnsi="Times New Roman"/>
                <w:sz w:val="15"/>
                <w:szCs w:val="15"/>
                <w:color w:val="auto"/>
              </w:rPr>
              <w:t>Tax fees</w:t>
            </w:r>
            <w:r>
              <w:rPr>
                <w:rFonts w:ascii="Times New Roman" w:cs="Times New Roman" w:eastAsia="Times New Roman" w:hAnsi="Times New Roman"/>
                <w:sz w:val="22"/>
                <w:szCs w:val="22"/>
                <w:color w:val="auto"/>
                <w:vertAlign w:val="superscript"/>
              </w:rPr>
              <w:t>(2)</w:t>
            </w:r>
          </w:p>
        </w:tc>
        <w:tc>
          <w:tcPr>
            <w:tcW w:w="780" w:type="dxa"/>
            <w:vAlign w:val="bottom"/>
          </w:tcPr>
          <w:p>
            <w:pPr>
              <w:jc w:val="right"/>
              <w:ind w:right="165"/>
              <w:spacing w:after="0"/>
              <w:rPr>
                <w:sz w:val="20"/>
                <w:szCs w:val="20"/>
                <w:color w:val="auto"/>
              </w:rPr>
            </w:pPr>
            <w:r>
              <w:rPr>
                <w:rFonts w:ascii="Times New Roman" w:cs="Times New Roman" w:eastAsia="Times New Roman" w:hAnsi="Times New Roman"/>
                <w:sz w:val="16"/>
                <w:szCs w:val="16"/>
                <w:color w:val="auto"/>
              </w:rPr>
              <w:t>150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w:t>
            </w:r>
          </w:p>
        </w:tc>
      </w:tr>
      <w:tr>
        <w:trPr>
          <w:trHeight w:val="193"/>
        </w:trPr>
        <w:tc>
          <w:tcPr>
            <w:tcW w:w="60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5"/>
                <w:szCs w:val="15"/>
                <w:color w:val="auto"/>
              </w:rPr>
              <w:t>All other fees</w:t>
            </w:r>
            <w:r>
              <w:rPr>
                <w:rFonts w:ascii="Times New Roman" w:cs="Times New Roman" w:eastAsia="Times New Roman" w:hAnsi="Times New Roman"/>
                <w:sz w:val="22"/>
                <w:szCs w:val="22"/>
                <w:color w:val="auto"/>
                <w:vertAlign w:val="superscript"/>
              </w:rPr>
              <w:t>(3)</w:t>
            </w:r>
          </w:p>
        </w:tc>
        <w:tc>
          <w:tcPr>
            <w:tcW w:w="7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650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80" w:type="dxa"/>
            <w:vAlign w:val="bottom"/>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5,950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72390</wp:posOffset>
            </wp:positionV>
            <wp:extent cx="68897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8975" cy="7620"/>
                    </a:xfrm>
                    <a:prstGeom prst="rect">
                      <a:avLst/>
                    </a:prstGeom>
                    <a:noFill/>
                  </pic:spPr>
                </pic:pic>
              </a:graphicData>
            </a:graphic>
          </wp:anchor>
        </w:drawing>
      </w:r>
    </w:p>
    <w:p>
      <w:pPr>
        <w:spacing w:after="0" w:line="1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Notes:</w:t>
      </w:r>
    </w:p>
    <w:p>
      <w:pPr>
        <w:spacing w:after="0" w:line="117" w:lineRule="exact"/>
        <w:rPr>
          <w:sz w:val="20"/>
          <w:szCs w:val="20"/>
          <w:color w:val="auto"/>
        </w:rPr>
      </w:pPr>
    </w:p>
    <w:p>
      <w:pPr>
        <w:ind w:left="1100" w:right="380" w:hanging="393"/>
        <w:spacing w:after="0" w:line="262" w:lineRule="auto"/>
        <w:tabs>
          <w:tab w:leader="none" w:pos="11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means the aggregate fees billed for professional services rendered by our principal external auditors for the audits of our annual financial statements and the quarterly reviews of our condensed consolidated financial information.</w:t>
      </w:r>
    </w:p>
    <w:p>
      <w:pPr>
        <w:ind w:left="1100" w:hanging="393"/>
        <w:spacing w:after="0" w:line="251" w:lineRule="auto"/>
        <w:tabs>
          <w:tab w:leader="none" w:pos="11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means the aggregate fees billed in each of the fiscal years listed for professional services rendered by our principal external auditors for tax compliance, tax advice, and tax planning.</w:t>
      </w:r>
    </w:p>
    <w:p>
      <w:pPr>
        <w:ind w:left="1100" w:right="560" w:hanging="393"/>
        <w:spacing w:after="0" w:line="263" w:lineRule="auto"/>
        <w:tabs>
          <w:tab w:leader="none" w:pos="11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means the aggregate fees billed for professional services rendered by our principal external auditors associated with other advisory services.</w:t>
      </w:r>
    </w:p>
    <w:p>
      <w:pPr>
        <w:spacing w:after="0" w:line="159" w:lineRule="exact"/>
        <w:rPr>
          <w:sz w:val="20"/>
          <w:szCs w:val="20"/>
          <w:color w:val="auto"/>
        </w:rPr>
      </w:pPr>
    </w:p>
    <w:p>
      <w:pPr>
        <w:ind w:left="700" w:right="140" w:firstLine="393"/>
        <w:spacing w:after="0" w:line="267" w:lineRule="auto"/>
        <w:rPr>
          <w:sz w:val="20"/>
          <w:szCs w:val="20"/>
          <w:color w:val="auto"/>
        </w:rPr>
      </w:pPr>
      <w:r>
        <w:rPr>
          <w:rFonts w:ascii="Times New Roman" w:cs="Times New Roman" w:eastAsia="Times New Roman" w:hAnsi="Times New Roman"/>
          <w:sz w:val="16"/>
          <w:szCs w:val="16"/>
          <w:color w:val="auto"/>
        </w:rPr>
        <w:t>The policy of our audit committee is to pre-approve all audit and other service provided by PricewaterhouseCoopers Zhong Tian LLP and its affiliates, including audit services, tax services and other services described above, other than those for de minimis services which are approved by the audit committee prior to the completion of the audit.</w:t>
      </w:r>
    </w:p>
    <w:p>
      <w:pPr>
        <w:spacing w:after="0" w:line="288"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16.D.</w:t>
        <w:tab/>
        <w:t>EXEMPTIONS FROM THE LISTING STANDARDS FOR AUDIT COMMITTEES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Not applicable.</w:t>
      </w:r>
    </w:p>
    <w:p>
      <w:pPr>
        <w:spacing w:after="0" w:line="332"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16.E.</w:t>
        <w:tab/>
        <w:t>PURCHASES OF EQUITY SECURITIES BY THE ISSUER AND AFFILIATED PURCHASERS</w:t>
      </w:r>
    </w:p>
    <w:p>
      <w:pPr>
        <w:spacing w:after="0" w:line="107" w:lineRule="exact"/>
        <w:rPr>
          <w:sz w:val="20"/>
          <w:szCs w:val="20"/>
          <w:color w:val="auto"/>
        </w:rPr>
      </w:pPr>
    </w:p>
    <w:p>
      <w:pPr>
        <w:ind w:left="700" w:right="100" w:firstLine="393"/>
        <w:spacing w:after="0" w:line="258" w:lineRule="auto"/>
        <w:rPr>
          <w:sz w:val="20"/>
          <w:szCs w:val="20"/>
          <w:color w:val="auto"/>
        </w:rPr>
      </w:pPr>
      <w:r>
        <w:rPr>
          <w:rFonts w:ascii="Times New Roman" w:cs="Times New Roman" w:eastAsia="Times New Roman" w:hAnsi="Times New Roman"/>
          <w:sz w:val="16"/>
          <w:szCs w:val="16"/>
          <w:color w:val="auto"/>
        </w:rPr>
        <w:t>On April 15, 2020, our board of directors authorized a share repurchase program under which we may repurchase up to US$10 million of our outstanding American depositary shares over the next 12 months, subject to relevant rules under the Securities Exchange Act of 1934, as amended, and our insider trading policy. The share repurchases may be made from time to time in the open market at prevailing market prices, in privately negotiated transactions, in block trades and/or through other legally permissible means, depending on market conditions and in accordance with applicable rules and regulations. Our board of directors will review the share repurchase program periodically and may authorize adjustment of its terms and size. We expect to fund repurchases made under this program from our existing funds.</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160</w:t>
      </w:r>
    </w:p>
    <w:p>
      <w:pPr>
        <w:sectPr>
          <w:pgSz w:w="11900" w:h="16838" w:orient="portrait"/>
          <w:cols w:equalWidth="0" w:num="1">
            <w:col w:w="10520"/>
          </w:cols>
          <w:pgMar w:left="320" w:top="447" w:right="10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5" w:lineRule="exact"/>
        <w:rPr>
          <w:sz w:val="20"/>
          <w:szCs w:val="20"/>
          <w:color w:val="auto"/>
        </w:rPr>
      </w:pPr>
    </w:p>
    <w:p>
      <w:pPr>
        <w:ind w:left="700" w:right="40" w:firstLine="393"/>
        <w:spacing w:after="0" w:line="258" w:lineRule="auto"/>
        <w:rPr>
          <w:sz w:val="20"/>
          <w:szCs w:val="20"/>
          <w:color w:val="auto"/>
        </w:rPr>
      </w:pPr>
      <w:r>
        <w:rPr>
          <w:rFonts w:ascii="Times New Roman" w:cs="Times New Roman" w:eastAsia="Times New Roman" w:hAnsi="Times New Roman"/>
          <w:sz w:val="16"/>
          <w:szCs w:val="16"/>
          <w:color w:val="auto"/>
        </w:rPr>
        <w:t>On March 16, 2022, our board of directors authorized a share repurchase program under which we may repurchase up to US$5 million of our outstanding American depositary shares over the next 12 months, subject to relevant rules under the Securities Exchange Act of 1934, as amended, and our insider trading policy. The share repurchases may be made from time to time in the open market at prevailing market prices, in privately negotiated transactions, in block trades and/or through other legally permissible means, depending on market conditions and in accordance with applicable rules and regulations. Our board of directors will review the share repurchase program periodically and may authorize adjustment of its terms and size. We expect to fund repurchases made under this program from our existing funds.</w:t>
      </w:r>
    </w:p>
    <w:p>
      <w:pPr>
        <w:spacing w:after="0" w:line="163"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On March 17, 2023, our board of directors authorized a share repurchase program under which we may repurchase up to US$5 million of our Class A common shares in the form of American depositary shares over the next 12 months, subject to relevant rules under the Securities Exchange Act of 1934, as amended, and our insider trading policy. The share repurchases may be made from time to time in the open market at prevailing market prices, in privately negotiated transactions, in block trades and/or through other legally permissible means, depending on market conditions and in accordance with applicable rules and regulations. Our board of directors will review the share repurchase program periodically and may authorize adjustment of its terms and size. We expect to fund repurchases made under this program from our existing cash balance and cash generated from operations.</w:t>
      </w:r>
    </w:p>
    <w:p>
      <w:pPr>
        <w:spacing w:after="0" w:line="16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table below summarizes the repurchases we made in the periods indicated.</w:t>
      </w:r>
    </w:p>
    <w:p>
      <w:pPr>
        <w:spacing w:after="0" w:line="203"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Approximate</w:t>
            </w: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6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8"/>
              </w:rPr>
              <w:t>Total Number of</w:t>
            </w:r>
          </w:p>
        </w:tc>
        <w:tc>
          <w:tcPr>
            <w:tcW w:w="1040" w:type="dxa"/>
            <w:vAlign w:val="bottom"/>
            <w:gridSpan w:val="2"/>
          </w:tcPr>
          <w:p>
            <w:pPr>
              <w:jc w:val="center"/>
              <w:ind w:right="60"/>
              <w:spacing w:after="0" w:line="133" w:lineRule="exact"/>
              <w:rPr>
                <w:sz w:val="20"/>
                <w:szCs w:val="20"/>
                <w:color w:val="auto"/>
              </w:rPr>
            </w:pPr>
            <w:r>
              <w:rPr>
                <w:rFonts w:ascii="Times New Roman" w:cs="Times New Roman" w:eastAsia="Times New Roman" w:hAnsi="Times New Roman"/>
                <w:sz w:val="13"/>
                <w:szCs w:val="13"/>
                <w:b w:val="1"/>
                <w:bCs w:val="1"/>
                <w:color w:val="auto"/>
                <w:w w:val="96"/>
              </w:rPr>
              <w:t>Dollar Value of</w:t>
            </w: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040" w:type="dxa"/>
            <w:vAlign w:val="bottom"/>
            <w:gridSpan w:val="2"/>
          </w:tcPr>
          <w:p>
            <w:pPr>
              <w:jc w:val="center"/>
              <w:ind w:right="60"/>
              <w:spacing w:after="0" w:line="133" w:lineRule="exact"/>
              <w:rPr>
                <w:sz w:val="20"/>
                <w:szCs w:val="20"/>
                <w:color w:val="auto"/>
              </w:rPr>
            </w:pPr>
            <w:r>
              <w:rPr>
                <w:rFonts w:ascii="Times New Roman" w:cs="Times New Roman" w:eastAsia="Times New Roman" w:hAnsi="Times New Roman"/>
                <w:sz w:val="13"/>
                <w:szCs w:val="13"/>
                <w:b w:val="1"/>
                <w:bCs w:val="1"/>
                <w:color w:val="auto"/>
                <w:w w:val="97"/>
              </w:rPr>
              <w:t>Common Shares</w:t>
            </w: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60" w:type="dxa"/>
            <w:vAlign w:val="bottom"/>
            <w:gridSpan w:val="2"/>
          </w:tcPr>
          <w:p>
            <w:pPr>
              <w:jc w:val="center"/>
              <w:ind w:right="560"/>
              <w:spacing w:after="0" w:line="133" w:lineRule="exact"/>
              <w:rPr>
                <w:sz w:val="20"/>
                <w:szCs w:val="20"/>
                <w:color w:val="auto"/>
              </w:rPr>
            </w:pPr>
            <w:r>
              <w:rPr>
                <w:rFonts w:ascii="Times New Roman" w:cs="Times New Roman" w:eastAsia="Times New Roman" w:hAnsi="Times New Roman"/>
                <w:sz w:val="13"/>
                <w:szCs w:val="13"/>
                <w:b w:val="1"/>
                <w:bCs w:val="1"/>
                <w:color w:val="auto"/>
                <w:w w:val="99"/>
              </w:rPr>
              <w:t>Common Shares</w:t>
            </w:r>
          </w:p>
        </w:tc>
        <w:tc>
          <w:tcPr>
            <w:tcW w:w="104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3"/>
                <w:szCs w:val="13"/>
                <w:b w:val="1"/>
                <w:bCs w:val="1"/>
                <w:color w:val="auto"/>
                <w:w w:val="96"/>
              </w:rPr>
              <w:t>that May Yet Be</w:t>
            </w: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8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Total Number of</w:t>
            </w:r>
          </w:p>
        </w:tc>
        <w:tc>
          <w:tcPr>
            <w:tcW w:w="16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w w:val="95"/>
              </w:rPr>
              <w:t>Average Price Paid</w:t>
            </w:r>
          </w:p>
        </w:tc>
        <w:tc>
          <w:tcPr>
            <w:tcW w:w="1560" w:type="dxa"/>
            <w:vAlign w:val="bottom"/>
            <w:gridSpan w:val="2"/>
          </w:tcPr>
          <w:p>
            <w:pPr>
              <w:jc w:val="center"/>
              <w:ind w:right="560"/>
              <w:spacing w:after="0" w:line="133" w:lineRule="exact"/>
              <w:rPr>
                <w:sz w:val="20"/>
                <w:szCs w:val="20"/>
                <w:color w:val="auto"/>
              </w:rPr>
            </w:pPr>
            <w:r>
              <w:rPr>
                <w:rFonts w:ascii="Times New Roman" w:cs="Times New Roman" w:eastAsia="Times New Roman" w:hAnsi="Times New Roman"/>
                <w:sz w:val="13"/>
                <w:szCs w:val="13"/>
                <w:b w:val="1"/>
                <w:bCs w:val="1"/>
                <w:color w:val="auto"/>
                <w:w w:val="98"/>
              </w:rPr>
              <w:t>Purchased as Part</w:t>
            </w:r>
          </w:p>
        </w:tc>
        <w:tc>
          <w:tcPr>
            <w:tcW w:w="104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3"/>
                <w:szCs w:val="13"/>
                <w:b w:val="1"/>
                <w:bCs w:val="1"/>
                <w:color w:val="auto"/>
                <w:w w:val="98"/>
              </w:rPr>
              <w:t>Purchased Under</w:t>
            </w: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560" w:type="dxa"/>
            <w:vAlign w:val="bottom"/>
            <w:gridSpan w:val="2"/>
          </w:tcPr>
          <w:p>
            <w:pPr>
              <w:jc w:val="center"/>
              <w:ind w:right="560"/>
              <w:spacing w:after="0" w:line="133" w:lineRule="exact"/>
              <w:rPr>
                <w:sz w:val="20"/>
                <w:szCs w:val="20"/>
                <w:color w:val="auto"/>
              </w:rPr>
            </w:pPr>
            <w:r>
              <w:rPr>
                <w:rFonts w:ascii="Times New Roman" w:cs="Times New Roman" w:eastAsia="Times New Roman" w:hAnsi="Times New Roman"/>
                <w:sz w:val="13"/>
                <w:szCs w:val="13"/>
                <w:b w:val="1"/>
                <w:bCs w:val="1"/>
                <w:color w:val="auto"/>
                <w:w w:val="94"/>
              </w:rPr>
              <w:t>of Share</w:t>
            </w:r>
          </w:p>
        </w:tc>
        <w:tc>
          <w:tcPr>
            <w:tcW w:w="104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3"/>
                <w:szCs w:val="13"/>
                <w:b w:val="1"/>
                <w:bCs w:val="1"/>
                <w:color w:val="auto"/>
                <w:w w:val="96"/>
              </w:rPr>
              <w:t>Share Repurchase</w:t>
            </w:r>
          </w:p>
        </w:tc>
        <w:tc>
          <w:tcPr>
            <w:tcW w:w="0" w:type="dxa"/>
            <w:vAlign w:val="bottom"/>
          </w:tcPr>
          <w:p>
            <w:pPr>
              <w:spacing w:after="0"/>
              <w:rPr>
                <w:sz w:val="1"/>
                <w:szCs w:val="1"/>
                <w:color w:val="auto"/>
              </w:rPr>
            </w:pPr>
          </w:p>
        </w:tc>
      </w:tr>
      <w:tr>
        <w:trPr>
          <w:trHeight w:val="133"/>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Month</w:t>
            </w:r>
          </w:p>
        </w:tc>
        <w:tc>
          <w:tcPr>
            <w:tcW w:w="1480" w:type="dxa"/>
            <w:vAlign w:val="bottom"/>
            <w:gridSpan w:val="2"/>
          </w:tcPr>
          <w:p>
            <w:pPr>
              <w:jc w:val="center"/>
              <w:ind w:right="540"/>
              <w:spacing w:after="0" w:line="133" w:lineRule="exact"/>
              <w:rPr>
                <w:sz w:val="20"/>
                <w:szCs w:val="20"/>
                <w:color w:val="auto"/>
              </w:rPr>
            </w:pPr>
            <w:r>
              <w:rPr>
                <w:rFonts w:ascii="Times New Roman" w:cs="Times New Roman" w:eastAsia="Times New Roman" w:hAnsi="Times New Roman"/>
                <w:sz w:val="13"/>
                <w:szCs w:val="13"/>
                <w:b w:val="1"/>
                <w:bCs w:val="1"/>
                <w:color w:val="auto"/>
                <w:w w:val="97"/>
              </w:rPr>
              <w:t>Common Shares</w:t>
            </w:r>
          </w:p>
        </w:tc>
        <w:tc>
          <w:tcPr>
            <w:tcW w:w="1600" w:type="dxa"/>
            <w:vAlign w:val="bottom"/>
            <w:gridSpan w:val="2"/>
          </w:tcPr>
          <w:p>
            <w:pPr>
              <w:jc w:val="right"/>
              <w:ind w:right="720"/>
              <w:spacing w:after="0" w:line="133" w:lineRule="exact"/>
              <w:rPr>
                <w:sz w:val="20"/>
                <w:szCs w:val="20"/>
                <w:color w:val="auto"/>
              </w:rPr>
            </w:pPr>
            <w:r>
              <w:rPr>
                <w:rFonts w:ascii="Times New Roman" w:cs="Times New Roman" w:eastAsia="Times New Roman" w:hAnsi="Times New Roman"/>
                <w:sz w:val="13"/>
                <w:szCs w:val="13"/>
                <w:b w:val="1"/>
                <w:bCs w:val="1"/>
                <w:color w:val="auto"/>
              </w:rPr>
              <w:t>Per Common</w:t>
            </w:r>
          </w:p>
        </w:tc>
        <w:tc>
          <w:tcPr>
            <w:tcW w:w="1560" w:type="dxa"/>
            <w:vAlign w:val="bottom"/>
            <w:gridSpan w:val="2"/>
          </w:tcPr>
          <w:p>
            <w:pPr>
              <w:jc w:val="center"/>
              <w:ind w:right="560"/>
              <w:spacing w:after="0" w:line="133" w:lineRule="exact"/>
              <w:rPr>
                <w:sz w:val="20"/>
                <w:szCs w:val="20"/>
                <w:color w:val="auto"/>
              </w:rPr>
            </w:pPr>
            <w:r>
              <w:rPr>
                <w:rFonts w:ascii="Times New Roman" w:cs="Times New Roman" w:eastAsia="Times New Roman" w:hAnsi="Times New Roman"/>
                <w:sz w:val="13"/>
                <w:szCs w:val="13"/>
                <w:b w:val="1"/>
                <w:bCs w:val="1"/>
                <w:color w:val="auto"/>
                <w:w w:val="97"/>
              </w:rPr>
              <w:t>Repurchase</w:t>
            </w:r>
          </w:p>
        </w:tc>
        <w:tc>
          <w:tcPr>
            <w:tcW w:w="104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3"/>
                <w:szCs w:val="13"/>
                <w:b w:val="1"/>
                <w:bCs w:val="1"/>
                <w:color w:val="auto"/>
                <w:w w:val="98"/>
              </w:rPr>
              <w:t>Program (US$, in</w:t>
            </w:r>
          </w:p>
        </w:tc>
        <w:tc>
          <w:tcPr>
            <w:tcW w:w="0" w:type="dxa"/>
            <w:vAlign w:val="bottom"/>
          </w:tcPr>
          <w:p>
            <w:pPr>
              <w:spacing w:after="0"/>
              <w:rPr>
                <w:sz w:val="1"/>
                <w:szCs w:val="1"/>
                <w:color w:val="auto"/>
              </w:rPr>
            </w:pPr>
          </w:p>
        </w:tc>
      </w:tr>
      <w:tr>
        <w:trPr>
          <w:trHeight w:val="155"/>
        </w:trPr>
        <w:tc>
          <w:tcPr>
            <w:tcW w:w="3360" w:type="dxa"/>
            <w:vAlign w:val="bottom"/>
            <w:gridSpan w:val="2"/>
            <w:vMerge w:val="continue"/>
          </w:tcPr>
          <w:p>
            <w:pPr>
              <w:spacing w:after="0"/>
              <w:rPr>
                <w:sz w:val="13"/>
                <w:szCs w:val="13"/>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9"/>
              </w:rPr>
              <w:t>Purchased</w:t>
            </w:r>
          </w:p>
        </w:tc>
        <w:tc>
          <w:tcPr>
            <w:tcW w:w="160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Share (US$)</w:t>
            </w: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6"/>
              </w:rPr>
              <w:t>Program</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millions)</w:t>
            </w:r>
          </w:p>
        </w:tc>
        <w:tc>
          <w:tcPr>
            <w:tcW w:w="0" w:type="dxa"/>
            <w:vAlign w:val="bottom"/>
          </w:tcPr>
          <w:p>
            <w:pPr>
              <w:spacing w:after="0"/>
              <w:rPr>
                <w:sz w:val="1"/>
                <w:szCs w:val="1"/>
                <w:color w:val="auto"/>
              </w:rPr>
            </w:pPr>
          </w:p>
        </w:tc>
      </w:tr>
      <w:tr>
        <w:trPr>
          <w:trHeight w:val="185"/>
        </w:trPr>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2022</w:t>
            </w:r>
          </w:p>
        </w:tc>
        <w:tc>
          <w:tcPr>
            <w:tcW w:w="5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February 2022</w:t>
            </w:r>
          </w:p>
        </w:tc>
        <w:tc>
          <w:tcPr>
            <w:tcW w:w="14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2022</w:t>
            </w: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4,976,200</w:t>
            </w: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0.0738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4,976,200</w:t>
            </w:r>
          </w:p>
        </w:tc>
        <w:tc>
          <w:tcPr>
            <w:tcW w:w="5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93"/>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April 2022</w:t>
            </w: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1,810,520</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0.0695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6,786,720</w:t>
            </w:r>
          </w:p>
        </w:tc>
        <w:tc>
          <w:tcPr>
            <w:tcW w:w="5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3"/>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May 2022</w:t>
            </w:r>
          </w:p>
        </w:tc>
        <w:tc>
          <w:tcPr>
            <w:tcW w:w="14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3"/>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June 2022</w:t>
            </w: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153,280</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0.0611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6,940,000</w:t>
            </w:r>
          </w:p>
        </w:tc>
        <w:tc>
          <w:tcPr>
            <w:tcW w:w="5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3"/>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July 2022</w:t>
            </w: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205,140</w:t>
            </w: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0.0606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7,145,140</w:t>
            </w:r>
          </w:p>
        </w:tc>
        <w:tc>
          <w:tcPr>
            <w:tcW w:w="5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3"/>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August 2022</w:t>
            </w:r>
          </w:p>
        </w:tc>
        <w:tc>
          <w:tcPr>
            <w:tcW w:w="14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3"/>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2022</w:t>
            </w: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338,920</w:t>
            </w: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0.0399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7,484,060</w:t>
            </w:r>
          </w:p>
        </w:tc>
        <w:tc>
          <w:tcPr>
            <w:tcW w:w="5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3"/>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October 2022</w:t>
            </w: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155,120</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0.0409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7,639,180</w:t>
            </w:r>
          </w:p>
        </w:tc>
        <w:tc>
          <w:tcPr>
            <w:tcW w:w="5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3"/>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November 2022</w:t>
            </w: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1,146,380</w:t>
            </w: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0.0446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8,785,560</w:t>
            </w:r>
          </w:p>
        </w:tc>
        <w:tc>
          <w:tcPr>
            <w:tcW w:w="5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9"/>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2022</w:t>
            </w: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4,312,180</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0.0628</w:t>
            </w: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13,097,740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16.F.</w:t>
        <w:tab/>
        <w:t>CHANGE IN REGISTRANT’S CERTIFYING ACCOUNTANT</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Not applicable.</w:t>
      </w:r>
    </w:p>
    <w:p>
      <w:pPr>
        <w:spacing w:after="0" w:line="1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161</w:t>
      </w:r>
    </w:p>
    <w:p>
      <w:pPr>
        <w:sectPr>
          <w:pgSz w:w="11900" w:h="16838" w:orient="portrait"/>
          <w:cols w:equalWidth="0" w:num="1">
            <w:col w:w="10460"/>
          </w:cols>
          <w:pgMar w:left="320" w:top="447" w:right="11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16.G.</w:t>
        <w:tab/>
        <w:t>CORPORATE GOVERNANCE</w:t>
      </w:r>
    </w:p>
    <w:p>
      <w:pPr>
        <w:spacing w:after="0" w:line="204" w:lineRule="exact"/>
        <w:rPr>
          <w:sz w:val="20"/>
          <w:szCs w:val="20"/>
          <w:color w:val="auto"/>
        </w:rPr>
      </w:pPr>
    </w:p>
    <w:p>
      <w:pPr>
        <w:ind w:left="700" w:right="20" w:firstLine="393"/>
        <w:spacing w:after="0" w:line="254" w:lineRule="auto"/>
        <w:rPr>
          <w:sz w:val="20"/>
          <w:szCs w:val="20"/>
          <w:color w:val="auto"/>
        </w:rPr>
      </w:pPr>
      <w:r>
        <w:rPr>
          <w:rFonts w:ascii="Times New Roman" w:cs="Times New Roman" w:eastAsia="Times New Roman" w:hAnsi="Times New Roman"/>
          <w:sz w:val="16"/>
          <w:szCs w:val="16"/>
          <w:color w:val="auto"/>
        </w:rPr>
        <w:t>As a Cayman Islands company listed on the Nasdaq Global Market, we are subject to Nasdaq’s corporate governance requirements. However, Nasdaq rules permit a foreign private issuer like us to follow the corporate governance practices of its home country. Certain corporate governance practices in the Cayman Islands, which is our home country, may differ significantly from Nasdaq’s corporate governance requirements. We have relied on the exemption available to foreign private issuers for the requirement under Nasdaq Rule 5635(c) that shareholders’ approval must be obtained prior to the issuance of securities when a stock option or purchase plan is to be established or materially amended or when other equity compensation arrangement is to be made or materially amended, pursuant to which stock may be acquired by officers, directors, employees, or consultants. We elected to follow our home country practice and did not obtain shareholders’ approval for the material amendment to our 2019 Plan. If we continue to rely on this and other exemptions available to foreign private issuers in the future, our shareholders may be afforded less protection than they otherwise would under the Nasdaq corporate governance listing standards applicable to U.S. domestic issuers. See “Item 3. Key Information—D. Risk Factors—Risks relating to Our ADSs—As an exempted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the Nasdaq listing standards.”</w:t>
      </w:r>
    </w:p>
    <w:p>
      <w:pPr>
        <w:spacing w:after="0" w:line="300"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16.H.</w:t>
        <w:tab/>
        <w:t>MINE SAFETY DISCLOSURE</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Not applicable.</w:t>
      </w:r>
    </w:p>
    <w:p>
      <w:pPr>
        <w:spacing w:after="0" w:line="332"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16.I.</w:t>
        <w:tab/>
        <w:t>DISCLOSURE REGARDING FOREIGN JURISDICTIONS THAT PREVENT INSPECTIONS</w:t>
      </w:r>
    </w:p>
    <w:p>
      <w:pPr>
        <w:spacing w:after="0" w:line="107" w:lineRule="exact"/>
        <w:rPr>
          <w:sz w:val="20"/>
          <w:szCs w:val="20"/>
          <w:color w:val="auto"/>
        </w:rPr>
      </w:pPr>
    </w:p>
    <w:p>
      <w:pPr>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In May 2022, Huize Holding Limited was conclusively listed by the SEC as a Commission-Identified Issuer under the HFCAA following the filing of our annual report on Form 20-F for the fiscal year ended December 31, 2021. Our auditor, PricewaterhouseCoopers Zhong Tian LLP, a registered public accounting firm that the PCAOB was unable to inspect or investigate completely in 2021 because of a position taken by an authority in the foreign jurisdiction, issued the audit report for us for the fiscal year ended December 31, 2021.</w:t>
      </w:r>
    </w:p>
    <w:p>
      <w:pPr>
        <w:spacing w:after="0" w:line="161"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To the best of our knowledge, no governmental entities in the Cayman Islands own shares of Huize Holding Limited, and no governmental entities in China own shares of any of our subsidiaries or the VIE in China, as of the date of this annual report.</w:t>
      </w:r>
    </w:p>
    <w:p>
      <w:pPr>
        <w:spacing w:after="0" w:line="143" w:lineRule="exact"/>
        <w:rPr>
          <w:sz w:val="20"/>
          <w:szCs w:val="20"/>
          <w:color w:val="auto"/>
        </w:rPr>
      </w:pPr>
    </w:p>
    <w:p>
      <w:pPr>
        <w:ind w:left="700" w:right="240" w:firstLine="393"/>
        <w:spacing w:after="0" w:line="284" w:lineRule="auto"/>
        <w:rPr>
          <w:sz w:val="20"/>
          <w:szCs w:val="20"/>
          <w:color w:val="auto"/>
        </w:rPr>
      </w:pPr>
      <w:r>
        <w:rPr>
          <w:rFonts w:ascii="Times New Roman" w:cs="Times New Roman" w:eastAsia="Times New Roman" w:hAnsi="Times New Roman"/>
          <w:sz w:val="16"/>
          <w:szCs w:val="16"/>
          <w:color w:val="auto"/>
        </w:rPr>
        <w:t>The governmental entities in China does not have a controlling financial interest in our company or any of our subsidiaries or the VIE as of the date of this annual report.</w:t>
      </w:r>
    </w:p>
    <w:p>
      <w:pPr>
        <w:spacing w:after="0" w:line="143" w:lineRule="exact"/>
        <w:rPr>
          <w:sz w:val="20"/>
          <w:szCs w:val="20"/>
          <w:color w:val="auto"/>
        </w:rPr>
      </w:pPr>
    </w:p>
    <w:p>
      <w:pPr>
        <w:ind w:left="700" w:right="700" w:firstLine="393"/>
        <w:spacing w:after="0" w:line="284" w:lineRule="auto"/>
        <w:rPr>
          <w:sz w:val="20"/>
          <w:szCs w:val="20"/>
          <w:color w:val="auto"/>
        </w:rPr>
      </w:pPr>
      <w:r>
        <w:rPr>
          <w:rFonts w:ascii="Times New Roman" w:cs="Times New Roman" w:eastAsia="Times New Roman" w:hAnsi="Times New Roman"/>
          <w:sz w:val="16"/>
          <w:szCs w:val="16"/>
          <w:color w:val="auto"/>
        </w:rPr>
        <w:t>None of the members of the board of directors of our company or our operating entities (including the VIE) is an official of the Chinese Communist Party as of the date of this annual report.</w:t>
      </w:r>
    </w:p>
    <w:p>
      <w:pPr>
        <w:spacing w:after="0" w:line="143" w:lineRule="exact"/>
        <w:rPr>
          <w:sz w:val="20"/>
          <w:szCs w:val="20"/>
          <w:color w:val="auto"/>
        </w:rPr>
      </w:pPr>
    </w:p>
    <w:p>
      <w:pPr>
        <w:ind w:left="700" w:right="100" w:firstLine="393"/>
        <w:spacing w:after="0" w:line="284" w:lineRule="auto"/>
        <w:rPr>
          <w:sz w:val="20"/>
          <w:szCs w:val="20"/>
          <w:color w:val="auto"/>
        </w:rPr>
      </w:pPr>
      <w:r>
        <w:rPr>
          <w:rFonts w:ascii="Times New Roman" w:cs="Times New Roman" w:eastAsia="Times New Roman" w:hAnsi="Times New Roman"/>
          <w:sz w:val="16"/>
          <w:szCs w:val="16"/>
          <w:color w:val="auto"/>
        </w:rPr>
        <w:t>None of the currently effective memorandum and articles of association (or equivalent organizing document) of our company, our subsidiaries or the VIE contains any charter of the Chinese Communist Party.</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162</w:t>
      </w:r>
    </w:p>
    <w:p>
      <w:pPr>
        <w:sectPr>
          <w:pgSz w:w="11900" w:h="16838" w:orient="portrait"/>
          <w:cols w:equalWidth="0" w:num="1">
            <w:col w:w="10520"/>
          </w:cols>
          <w:pgMar w:left="320" w:top="447" w:right="10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26"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17.</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We have elected to provide financial statements pursuant to Item 18.</w:t>
      </w:r>
    </w:p>
    <w:p>
      <w:pPr>
        <w:spacing w:after="0" w:line="332" w:lineRule="exact"/>
        <w:rPr>
          <w:sz w:val="20"/>
          <w:szCs w:val="20"/>
          <w:color w:val="auto"/>
        </w:rPr>
      </w:pPr>
    </w:p>
    <w:p>
      <w:pPr>
        <w:ind w:left="700"/>
        <w:spacing w:after="0"/>
        <w:tabs>
          <w:tab w:leader="none" w:pos="1660" w:val="left"/>
        </w:tabs>
        <w:rPr>
          <w:sz w:val="20"/>
          <w:szCs w:val="20"/>
          <w:color w:val="auto"/>
        </w:rPr>
      </w:pPr>
      <w:r>
        <w:rPr>
          <w:rFonts w:ascii="Times New Roman" w:cs="Times New Roman" w:eastAsia="Times New Roman" w:hAnsi="Times New Roman"/>
          <w:sz w:val="16"/>
          <w:szCs w:val="16"/>
          <w:b w:val="1"/>
          <w:bCs w:val="1"/>
          <w:color w:val="auto"/>
        </w:rPr>
        <w:t>ITEM 18.</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consolidated financial statements of Huize Holding Limited are included at the end of this annual report.</w:t>
      </w:r>
    </w:p>
    <w:p>
      <w:pPr>
        <w:spacing w:after="0" w:line="332" w:lineRule="exact"/>
        <w:rPr>
          <w:sz w:val="20"/>
          <w:szCs w:val="20"/>
          <w:color w:val="auto"/>
        </w:rPr>
      </w:pPr>
    </w:p>
    <w:tbl>
      <w:tblPr>
        <w:tblLayout w:type="fixed"/>
        <w:tblInd w:w="700" w:type="dxa"/>
        <w:tblCellMar>
          <w:top w:w="0" w:type="dxa"/>
          <w:left w:w="0" w:type="dxa"/>
          <w:bottom w:w="0" w:type="dxa"/>
          <w:right w:w="0" w:type="dxa"/>
        </w:tblCellMar>
      </w:tblPr>
      <w:tr>
        <w:trPr>
          <w:trHeight w:val="211"/>
        </w:trPr>
        <w:tc>
          <w:tcPr>
            <w:tcW w:w="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19.</w:t>
            </w:r>
          </w:p>
        </w:tc>
        <w:tc>
          <w:tcPr>
            <w:tcW w:w="9000" w:type="dxa"/>
            <w:vAlign w:val="bottom"/>
            <w:gridSpan w:val="27"/>
          </w:tcPr>
          <w:p>
            <w:pPr>
              <w:ind w:left="140"/>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0" w:type="dxa"/>
            <w:vAlign w:val="bottom"/>
          </w:tcPr>
          <w:p>
            <w:pPr>
              <w:spacing w:after="0"/>
              <w:rPr>
                <w:sz w:val="1"/>
                <w:szCs w:val="1"/>
                <w:color w:val="auto"/>
              </w:rPr>
            </w:pPr>
          </w:p>
        </w:tc>
      </w:tr>
      <w:tr>
        <w:trPr>
          <w:trHeight w:val="328"/>
        </w:trPr>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00" w:type="dxa"/>
            <w:vAlign w:val="bottom"/>
            <w:gridSpan w:val="20"/>
            <w:vMerge w:val="restart"/>
          </w:tcPr>
          <w:p>
            <w:pPr>
              <w:ind w:left="1120"/>
              <w:spacing w:after="0"/>
              <w:rPr>
                <w:sz w:val="20"/>
                <w:szCs w:val="20"/>
                <w:color w:val="auto"/>
              </w:rPr>
            </w:pPr>
            <w:r>
              <w:rPr>
                <w:rFonts w:ascii="Times New Roman" w:cs="Times New Roman" w:eastAsia="Times New Roman" w:hAnsi="Times New Roman"/>
                <w:sz w:val="13"/>
                <w:szCs w:val="13"/>
                <w:b w:val="1"/>
                <w:bCs w:val="1"/>
                <w:color w:val="auto"/>
              </w:rPr>
              <w:t>Description of Document</w:t>
            </w:r>
          </w:p>
        </w:tc>
        <w:tc>
          <w:tcPr>
            <w:tcW w:w="0" w:type="dxa"/>
            <w:vAlign w:val="bottom"/>
          </w:tcPr>
          <w:p>
            <w:pPr>
              <w:spacing w:after="0"/>
              <w:rPr>
                <w:sz w:val="1"/>
                <w:szCs w:val="1"/>
                <w:color w:val="auto"/>
              </w:rPr>
            </w:pPr>
          </w:p>
        </w:tc>
      </w:tr>
      <w:tr>
        <w:trPr>
          <w:trHeight w:val="159"/>
        </w:trPr>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300" w:type="dxa"/>
            <w:vAlign w:val="bottom"/>
            <w:gridSpan w:val="2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4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1.1</w:t>
            </w:r>
          </w:p>
        </w:tc>
        <w:tc>
          <w:tcPr>
            <w:tcW w:w="380" w:type="dxa"/>
            <w:vAlign w:val="bottom"/>
          </w:tcPr>
          <w:p>
            <w:pPr>
              <w:spacing w:after="0"/>
              <w:rPr>
                <w:sz w:val="20"/>
                <w:szCs w:val="20"/>
                <w:color w:val="auto"/>
              </w:rPr>
            </w:pPr>
          </w:p>
        </w:tc>
        <w:tc>
          <w:tcPr>
            <w:tcW w:w="9000" w:type="dxa"/>
            <w:vAlign w:val="bottom"/>
            <w:tcBorders>
              <w:top w:val="single" w:sz="8" w:color="auto"/>
            </w:tcBorders>
            <w:gridSpan w:val="27"/>
          </w:tcPr>
          <w:p>
            <w:pPr>
              <w:spacing w:after="0"/>
              <w:rPr>
                <w:rFonts w:ascii="Times New Roman" w:cs="Times New Roman" w:eastAsia="Times New Roman" w:hAnsi="Times New Roman"/>
                <w:sz w:val="16"/>
                <w:szCs w:val="16"/>
                <w:color w:val="0000EE"/>
              </w:rPr>
            </w:pPr>
            <w:hyperlink r:id="rId200">
              <w:r>
                <w:rPr>
                  <w:rFonts w:ascii="Times New Roman" w:cs="Times New Roman" w:eastAsia="Times New Roman" w:hAnsi="Times New Roman"/>
                  <w:sz w:val="16"/>
                  <w:szCs w:val="16"/>
                  <w:color w:val="0000EE"/>
                </w:rPr>
                <w:t>Third Amended and Restated Memorandum and Articles of Association of the Registrant (incorporated herein by reference to Exhibit 3.2</w:t>
              </w:r>
            </w:hyperlink>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80" w:type="dxa"/>
            <w:vAlign w:val="bottom"/>
            <w:tcBorders>
              <w:top w:val="single" w:sz="8" w:color="0000EE"/>
              <w:bottom w:val="single" w:sz="8" w:color="0000EE"/>
            </w:tcBorders>
            <w:gridSpan w:val="15"/>
          </w:tcPr>
          <w:p>
            <w:pPr>
              <w:spacing w:after="0" w:line="173" w:lineRule="exact"/>
              <w:rPr>
                <w:rFonts w:ascii="Times New Roman" w:cs="Times New Roman" w:eastAsia="Times New Roman" w:hAnsi="Times New Roman"/>
                <w:sz w:val="16"/>
                <w:szCs w:val="16"/>
                <w:color w:val="0000EE"/>
              </w:rPr>
            </w:pPr>
            <w:hyperlink r:id="rId200">
              <w:r>
                <w:rPr>
                  <w:rFonts w:ascii="Times New Roman" w:cs="Times New Roman" w:eastAsia="Times New Roman" w:hAnsi="Times New Roman"/>
                  <w:sz w:val="16"/>
                  <w:szCs w:val="16"/>
                  <w:color w:val="0000EE"/>
                </w:rPr>
                <w:t>to the registration statement on Form F-1 (File No. 333-233614), as amended, initially filed with the SEC on September 4, 2019)</w:t>
              </w:r>
            </w:hyperlink>
          </w:p>
        </w:tc>
        <w:tc>
          <w:tcPr>
            <w:tcW w:w="560" w:type="dxa"/>
            <w:vAlign w:val="bottom"/>
            <w:tcBorders>
              <w:top w:val="single" w:sz="8" w:color="0000EE"/>
            </w:tcBorders>
            <w:gridSpan w:val="8"/>
          </w:tcPr>
          <w:p>
            <w:pPr>
              <w:spacing w:after="0"/>
              <w:rPr>
                <w:sz w:val="15"/>
                <w:szCs w:val="15"/>
                <w:color w:val="auto"/>
              </w:rPr>
            </w:pPr>
          </w:p>
        </w:tc>
        <w:tc>
          <w:tcPr>
            <w:tcW w:w="1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2.1</w:t>
            </w:r>
          </w:p>
        </w:tc>
        <w:tc>
          <w:tcPr>
            <w:tcW w:w="380" w:type="dxa"/>
            <w:vAlign w:val="bottom"/>
          </w:tcPr>
          <w:p>
            <w:pPr>
              <w:spacing w:after="0"/>
              <w:rPr>
                <w:sz w:val="23"/>
                <w:szCs w:val="23"/>
                <w:color w:val="auto"/>
              </w:rPr>
            </w:pPr>
          </w:p>
        </w:tc>
        <w:tc>
          <w:tcPr>
            <w:tcW w:w="502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rPr>
            </w:pPr>
            <w:hyperlink r:id="rId201">
              <w:r>
                <w:rPr>
                  <w:rFonts w:ascii="Times New Roman" w:cs="Times New Roman" w:eastAsia="Times New Roman" w:hAnsi="Times New Roman"/>
                  <w:sz w:val="16"/>
                  <w:szCs w:val="16"/>
                  <w:color w:val="0000EE"/>
                </w:rPr>
                <w:t>Registrant’s Specimen American Depositary Receipt (included in Exhibit 2.3)</w:t>
              </w:r>
            </w:hyperlink>
          </w:p>
        </w:tc>
        <w:tc>
          <w:tcPr>
            <w:tcW w:w="3980" w:type="dxa"/>
            <w:vAlign w:val="bottom"/>
            <w:gridSpan w:val="16"/>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2.2</w:t>
            </w:r>
          </w:p>
        </w:tc>
        <w:tc>
          <w:tcPr>
            <w:tcW w:w="380" w:type="dxa"/>
            <w:vAlign w:val="bottom"/>
          </w:tcPr>
          <w:p>
            <w:pPr>
              <w:spacing w:after="0"/>
              <w:rPr>
                <w:sz w:val="23"/>
                <w:szCs w:val="23"/>
                <w:color w:val="auto"/>
              </w:rPr>
            </w:pPr>
          </w:p>
        </w:tc>
        <w:tc>
          <w:tcPr>
            <w:tcW w:w="8900" w:type="dxa"/>
            <w:vAlign w:val="bottom"/>
            <w:tcBorders>
              <w:bottom w:val="single" w:sz="8" w:color="0000EE"/>
            </w:tcBorders>
            <w:gridSpan w:val="25"/>
          </w:tcPr>
          <w:p>
            <w:pPr>
              <w:spacing w:after="0"/>
              <w:rPr>
                <w:rFonts w:ascii="Times New Roman" w:cs="Times New Roman" w:eastAsia="Times New Roman" w:hAnsi="Times New Roman"/>
                <w:sz w:val="16"/>
                <w:szCs w:val="16"/>
                <w:color w:val="0000EE"/>
                <w:w w:val="99"/>
              </w:rPr>
            </w:pPr>
            <w:hyperlink r:id="rId202">
              <w:r>
                <w:rPr>
                  <w:rFonts w:ascii="Times New Roman" w:cs="Times New Roman" w:eastAsia="Times New Roman" w:hAnsi="Times New Roman"/>
                  <w:sz w:val="16"/>
                  <w:szCs w:val="16"/>
                  <w:color w:val="0000EE"/>
                  <w:w w:val="99"/>
                </w:rPr>
                <w:t>Registrant’s Specimen Certificate for Class A common shares (incorporated herein by reference to Exhibit 4.2 to the registration statement</w:t>
              </w:r>
            </w:hyperlink>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0" w:type="dxa"/>
            <w:vAlign w:val="bottom"/>
            <w:gridSpan w:val="27"/>
          </w:tcPr>
          <w:p>
            <w:pPr>
              <w:spacing w:after="0" w:line="173" w:lineRule="exact"/>
              <w:rPr>
                <w:rFonts w:ascii="Times New Roman" w:cs="Times New Roman" w:eastAsia="Times New Roman" w:hAnsi="Times New Roman"/>
                <w:sz w:val="16"/>
                <w:szCs w:val="16"/>
                <w:color w:val="0000EE"/>
              </w:rPr>
            </w:pPr>
            <w:hyperlink r:id="rId202">
              <w:r>
                <w:rPr>
                  <w:rFonts w:ascii="Times New Roman" w:cs="Times New Roman" w:eastAsia="Times New Roman" w:hAnsi="Times New Roman"/>
                  <w:sz w:val="16"/>
                  <w:szCs w:val="16"/>
                  <w:color w:val="0000EE"/>
                </w:rPr>
                <w:t>on Form F-1 (File No. 333-233614), as amended, initially filed with the SEC on September 4, 2019)</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2.3</w:t>
            </w:r>
          </w:p>
        </w:tc>
        <w:tc>
          <w:tcPr>
            <w:tcW w:w="380" w:type="dxa"/>
            <w:vAlign w:val="bottom"/>
          </w:tcPr>
          <w:p>
            <w:pPr>
              <w:spacing w:after="0"/>
              <w:rPr>
                <w:sz w:val="23"/>
                <w:szCs w:val="23"/>
                <w:color w:val="auto"/>
              </w:rPr>
            </w:pPr>
          </w:p>
        </w:tc>
        <w:tc>
          <w:tcPr>
            <w:tcW w:w="8920" w:type="dxa"/>
            <w:vAlign w:val="bottom"/>
            <w:tcBorders>
              <w:bottom w:val="single" w:sz="8" w:color="0000EE"/>
            </w:tcBorders>
            <w:gridSpan w:val="26"/>
          </w:tcPr>
          <w:p>
            <w:pPr>
              <w:spacing w:after="0"/>
              <w:rPr>
                <w:rFonts w:ascii="Times New Roman" w:cs="Times New Roman" w:eastAsia="Times New Roman" w:hAnsi="Times New Roman"/>
                <w:sz w:val="16"/>
                <w:szCs w:val="16"/>
                <w:color w:val="0000EE"/>
              </w:rPr>
            </w:pPr>
            <w:hyperlink r:id="rId201">
              <w:r>
                <w:rPr>
                  <w:rFonts w:ascii="Times New Roman" w:cs="Times New Roman" w:eastAsia="Times New Roman" w:hAnsi="Times New Roman"/>
                  <w:sz w:val="16"/>
                  <w:szCs w:val="16"/>
                  <w:color w:val="0000EE"/>
                </w:rPr>
                <w:t>Deposit Agreement, dated as of February 11, among the Registrant, Citibank N.A., as the depositary, and all holders and beneficial owners</w:t>
              </w:r>
            </w:hyperlink>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340" w:type="dxa"/>
            <w:vAlign w:val="bottom"/>
            <w:tcBorders>
              <w:bottom w:val="single" w:sz="8" w:color="0000EE"/>
            </w:tcBorders>
            <w:gridSpan w:val="17"/>
          </w:tcPr>
          <w:p>
            <w:pPr>
              <w:spacing w:after="0" w:line="173" w:lineRule="exact"/>
              <w:rPr>
                <w:rFonts w:ascii="Times New Roman" w:cs="Times New Roman" w:eastAsia="Times New Roman" w:hAnsi="Times New Roman"/>
                <w:sz w:val="16"/>
                <w:szCs w:val="16"/>
                <w:color w:val="0000EE"/>
                <w:w w:val="99"/>
              </w:rPr>
            </w:pPr>
            <w:hyperlink r:id="rId201">
              <w:r>
                <w:rPr>
                  <w:rFonts w:ascii="Times New Roman" w:cs="Times New Roman" w:eastAsia="Times New Roman" w:hAnsi="Times New Roman"/>
                  <w:sz w:val="16"/>
                  <w:szCs w:val="16"/>
                  <w:color w:val="0000EE"/>
                  <w:w w:val="99"/>
                </w:rPr>
                <w:t>of the American Depositary Shares issued thereunder (incorporated herein by reference to Exhibit 4.3 to the registration statement</w:t>
              </w:r>
            </w:hyperlink>
          </w:p>
        </w:tc>
        <w:tc>
          <w:tcPr>
            <w:tcW w:w="6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760" w:type="dxa"/>
            <w:vAlign w:val="bottom"/>
            <w:tcBorders>
              <w:bottom w:val="single" w:sz="8" w:color="0000EE"/>
            </w:tcBorders>
            <w:gridSpan w:val="8"/>
          </w:tcPr>
          <w:p>
            <w:pPr>
              <w:spacing w:after="0" w:line="173" w:lineRule="exact"/>
              <w:rPr>
                <w:rFonts w:ascii="Times New Roman" w:cs="Times New Roman" w:eastAsia="Times New Roman" w:hAnsi="Times New Roman"/>
                <w:sz w:val="16"/>
                <w:szCs w:val="16"/>
                <w:color w:val="0000EE"/>
                <w:w w:val="99"/>
              </w:rPr>
            </w:pPr>
            <w:hyperlink r:id="rId201">
              <w:r>
                <w:rPr>
                  <w:rFonts w:ascii="Times New Roman" w:cs="Times New Roman" w:eastAsia="Times New Roman" w:hAnsi="Times New Roman"/>
                  <w:sz w:val="16"/>
                  <w:szCs w:val="16"/>
                  <w:color w:val="0000EE"/>
                  <w:w w:val="99"/>
                </w:rPr>
                <w:t>on Form S-8 (File No. 333-238148), filed with the SEC on May 11, 2020)</w:t>
              </w:r>
            </w:hyperlink>
          </w:p>
        </w:tc>
        <w:tc>
          <w:tcPr>
            <w:tcW w:w="424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2.4</w:t>
            </w:r>
          </w:p>
        </w:tc>
        <w:tc>
          <w:tcPr>
            <w:tcW w:w="380" w:type="dxa"/>
            <w:vAlign w:val="bottom"/>
          </w:tcPr>
          <w:p>
            <w:pPr>
              <w:spacing w:after="0"/>
              <w:rPr>
                <w:sz w:val="23"/>
                <w:szCs w:val="23"/>
                <w:color w:val="auto"/>
              </w:rPr>
            </w:pPr>
          </w:p>
        </w:tc>
        <w:tc>
          <w:tcPr>
            <w:tcW w:w="8300" w:type="dxa"/>
            <w:vAlign w:val="bottom"/>
            <w:tcBorders>
              <w:bottom w:val="single" w:sz="8" w:color="0000EE"/>
            </w:tcBorders>
            <w:gridSpan w:val="16"/>
          </w:tcPr>
          <w:p>
            <w:pPr>
              <w:spacing w:after="0"/>
              <w:rPr>
                <w:rFonts w:ascii="Times New Roman" w:cs="Times New Roman" w:eastAsia="Times New Roman" w:hAnsi="Times New Roman"/>
                <w:sz w:val="16"/>
                <w:szCs w:val="16"/>
                <w:color w:val="0000EE"/>
              </w:rPr>
            </w:pPr>
            <w:hyperlink r:id="rId203">
              <w:r>
                <w:rPr>
                  <w:rFonts w:ascii="Times New Roman" w:cs="Times New Roman" w:eastAsia="Times New Roman" w:hAnsi="Times New Roman"/>
                  <w:sz w:val="16"/>
                  <w:szCs w:val="16"/>
                  <w:color w:val="0000EE"/>
                </w:rPr>
                <w:t>Shareholders Agreement between the Registrant and other parties thereto dated June 6, 2019 (incorporated herein by reference to</w:t>
              </w:r>
            </w:hyperlink>
          </w:p>
        </w:tc>
        <w:tc>
          <w:tcPr>
            <w:tcW w:w="70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0" w:type="dxa"/>
            <w:vAlign w:val="bottom"/>
            <w:gridSpan w:val="27"/>
          </w:tcPr>
          <w:p>
            <w:pPr>
              <w:spacing w:after="0" w:line="173" w:lineRule="exact"/>
              <w:rPr>
                <w:rFonts w:ascii="Times New Roman" w:cs="Times New Roman" w:eastAsia="Times New Roman" w:hAnsi="Times New Roman"/>
                <w:sz w:val="16"/>
                <w:szCs w:val="16"/>
                <w:color w:val="0000EE"/>
              </w:rPr>
            </w:pPr>
            <w:hyperlink r:id="rId203">
              <w:r>
                <w:rPr>
                  <w:rFonts w:ascii="Times New Roman" w:cs="Times New Roman" w:eastAsia="Times New Roman" w:hAnsi="Times New Roman"/>
                  <w:sz w:val="16"/>
                  <w:szCs w:val="16"/>
                  <w:color w:val="0000EE"/>
                </w:rPr>
                <w:t>Exhibit 4.4 to the registration statement on Form F-1 (File No. 333-233614), as amended, initially filed with the SEC on September 4,</w:t>
              </w:r>
            </w:hyperlink>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top w:val="single" w:sz="8" w:color="0000EE"/>
              <w:bottom w:val="single" w:sz="8" w:color="0000EE"/>
            </w:tcBorders>
            <w:gridSpan w:val="2"/>
          </w:tcPr>
          <w:p>
            <w:pPr>
              <w:spacing w:after="0" w:line="173" w:lineRule="exact"/>
              <w:rPr>
                <w:rFonts w:ascii="Times New Roman" w:cs="Times New Roman" w:eastAsia="Times New Roman" w:hAnsi="Times New Roman"/>
                <w:sz w:val="16"/>
                <w:szCs w:val="16"/>
                <w:color w:val="0000EE"/>
              </w:rPr>
            </w:pPr>
            <w:hyperlink r:id="rId203">
              <w:r>
                <w:rPr>
                  <w:rFonts w:ascii="Times New Roman" w:cs="Times New Roman" w:eastAsia="Times New Roman" w:hAnsi="Times New Roman"/>
                  <w:sz w:val="16"/>
                  <w:szCs w:val="16"/>
                  <w:color w:val="0000EE"/>
                </w:rPr>
                <w:t>2019)</w:t>
              </w:r>
            </w:hyperlink>
          </w:p>
        </w:tc>
        <w:tc>
          <w:tcPr>
            <w:tcW w:w="8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2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2.5</w:t>
            </w:r>
          </w:p>
        </w:tc>
        <w:tc>
          <w:tcPr>
            <w:tcW w:w="380" w:type="dxa"/>
            <w:vAlign w:val="bottom"/>
          </w:tcPr>
          <w:p>
            <w:pPr>
              <w:spacing w:after="0"/>
              <w:rPr>
                <w:sz w:val="23"/>
                <w:szCs w:val="23"/>
                <w:color w:val="auto"/>
              </w:rPr>
            </w:pPr>
          </w:p>
        </w:tc>
        <w:tc>
          <w:tcPr>
            <w:tcW w:w="9000" w:type="dxa"/>
            <w:vAlign w:val="bottom"/>
            <w:tcBorders>
              <w:bottom w:val="single" w:sz="8" w:color="0000EE"/>
            </w:tcBorders>
            <w:gridSpan w:val="27"/>
          </w:tcPr>
          <w:p>
            <w:pPr>
              <w:spacing w:after="0"/>
              <w:rPr>
                <w:rFonts w:ascii="Times New Roman" w:cs="Times New Roman" w:eastAsia="Times New Roman" w:hAnsi="Times New Roman"/>
                <w:sz w:val="16"/>
                <w:szCs w:val="16"/>
                <w:color w:val="0000EE"/>
              </w:rPr>
            </w:pPr>
            <w:hyperlink r:id="rId204">
              <w:r>
                <w:rPr>
                  <w:rFonts w:ascii="Times New Roman" w:cs="Times New Roman" w:eastAsia="Times New Roman" w:hAnsi="Times New Roman"/>
                  <w:sz w:val="16"/>
                  <w:szCs w:val="16"/>
                  <w:color w:val="0000EE"/>
                </w:rPr>
                <w:t>Description of Securities (incorporated herein by reference to Exhibit 2.5 to the annual report on Form 20-F (File No. 001-39216) filed with</w:t>
              </w:r>
            </w:hyperlink>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0" w:type="dxa"/>
            <w:vAlign w:val="bottom"/>
            <w:gridSpan w:val="27"/>
          </w:tcPr>
          <w:p>
            <w:pPr>
              <w:spacing w:after="0" w:line="173" w:lineRule="exact"/>
              <w:rPr>
                <w:rFonts w:ascii="Times New Roman" w:cs="Times New Roman" w:eastAsia="Times New Roman" w:hAnsi="Times New Roman"/>
                <w:sz w:val="16"/>
                <w:szCs w:val="16"/>
                <w:color w:val="0000EE"/>
              </w:rPr>
            </w:pPr>
            <w:hyperlink r:id="rId204">
              <w:r>
                <w:rPr>
                  <w:rFonts w:ascii="Times New Roman" w:cs="Times New Roman" w:eastAsia="Times New Roman" w:hAnsi="Times New Roman"/>
                  <w:sz w:val="16"/>
                  <w:szCs w:val="16"/>
                  <w:color w:val="0000EE"/>
                </w:rPr>
                <w:t>the SEC on April 24, 2020)</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4.1</w:t>
            </w:r>
          </w:p>
        </w:tc>
        <w:tc>
          <w:tcPr>
            <w:tcW w:w="380" w:type="dxa"/>
            <w:vAlign w:val="bottom"/>
          </w:tcPr>
          <w:p>
            <w:pPr>
              <w:spacing w:after="0"/>
              <w:rPr>
                <w:sz w:val="23"/>
                <w:szCs w:val="23"/>
                <w:color w:val="auto"/>
              </w:rPr>
            </w:pPr>
          </w:p>
        </w:tc>
        <w:tc>
          <w:tcPr>
            <w:tcW w:w="9000" w:type="dxa"/>
            <w:vAlign w:val="bottom"/>
            <w:gridSpan w:val="27"/>
          </w:tcPr>
          <w:p>
            <w:pPr>
              <w:spacing w:after="0"/>
              <w:rPr>
                <w:rFonts w:ascii="Times New Roman" w:cs="Times New Roman" w:eastAsia="Times New Roman" w:hAnsi="Times New Roman"/>
                <w:sz w:val="16"/>
                <w:szCs w:val="16"/>
                <w:color w:val="0000EE"/>
              </w:rPr>
            </w:pPr>
            <w:hyperlink r:id="rId205">
              <w:r>
                <w:rPr>
                  <w:rFonts w:ascii="Times New Roman" w:cs="Times New Roman" w:eastAsia="Times New Roman" w:hAnsi="Times New Roman"/>
                  <w:sz w:val="16"/>
                  <w:szCs w:val="16"/>
                  <w:color w:val="0000EE"/>
                </w:rPr>
                <w:t>Global Share Incentive Plan (incorporated herein by reference to Exhibit 10.1 to the registration statement on Form F-1 (File No.</w:t>
              </w:r>
            </w:hyperlink>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0" w:type="dxa"/>
            <w:vAlign w:val="bottom"/>
            <w:tcBorders>
              <w:top w:val="single" w:sz="8" w:color="0000EE"/>
              <w:bottom w:val="single" w:sz="8" w:color="0000EE"/>
            </w:tcBorders>
            <w:gridSpan w:val="10"/>
          </w:tcPr>
          <w:p>
            <w:pPr>
              <w:spacing w:after="0" w:line="173" w:lineRule="exact"/>
              <w:rPr>
                <w:rFonts w:ascii="Times New Roman" w:cs="Times New Roman" w:eastAsia="Times New Roman" w:hAnsi="Times New Roman"/>
                <w:sz w:val="16"/>
                <w:szCs w:val="16"/>
                <w:color w:val="0000EE"/>
              </w:rPr>
            </w:pPr>
            <w:hyperlink r:id="rId205">
              <w:r>
                <w:rPr>
                  <w:rFonts w:ascii="Times New Roman" w:cs="Times New Roman" w:eastAsia="Times New Roman" w:hAnsi="Times New Roman"/>
                  <w:sz w:val="16"/>
                  <w:szCs w:val="16"/>
                  <w:color w:val="0000EE"/>
                </w:rPr>
                <w:t>333-233614), as amended, initially filed with the SEC on September 4, 2019)</w:t>
              </w:r>
            </w:hyperlink>
          </w:p>
        </w:tc>
        <w:tc>
          <w:tcPr>
            <w:tcW w:w="3280" w:type="dxa"/>
            <w:vAlign w:val="bottom"/>
            <w:tcBorders>
              <w:top w:val="single" w:sz="8" w:color="0000EE"/>
            </w:tcBorders>
            <w:gridSpan w:val="5"/>
          </w:tcPr>
          <w:p>
            <w:pPr>
              <w:spacing w:after="0"/>
              <w:rPr>
                <w:sz w:val="15"/>
                <w:szCs w:val="15"/>
                <w:color w:val="auto"/>
              </w:rPr>
            </w:pPr>
          </w:p>
        </w:tc>
        <w:tc>
          <w:tcPr>
            <w:tcW w:w="72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4.2</w:t>
            </w:r>
          </w:p>
        </w:tc>
        <w:tc>
          <w:tcPr>
            <w:tcW w:w="380" w:type="dxa"/>
            <w:vAlign w:val="bottom"/>
          </w:tcPr>
          <w:p>
            <w:pPr>
              <w:spacing w:after="0"/>
              <w:rPr>
                <w:sz w:val="23"/>
                <w:szCs w:val="23"/>
                <w:color w:val="auto"/>
              </w:rPr>
            </w:pPr>
          </w:p>
        </w:tc>
        <w:tc>
          <w:tcPr>
            <w:tcW w:w="8180" w:type="dxa"/>
            <w:vAlign w:val="bottom"/>
            <w:tcBorders>
              <w:bottom w:val="single" w:sz="8" w:color="0000EE"/>
            </w:tcBorders>
            <w:gridSpan w:val="14"/>
          </w:tcPr>
          <w:p>
            <w:pPr>
              <w:spacing w:after="0"/>
              <w:rPr>
                <w:rFonts w:ascii="Times New Roman" w:cs="Times New Roman" w:eastAsia="Times New Roman" w:hAnsi="Times New Roman"/>
                <w:sz w:val="16"/>
                <w:szCs w:val="16"/>
                <w:color w:val="0000EE"/>
              </w:rPr>
            </w:pPr>
            <w:hyperlink r:id="rId206">
              <w:r>
                <w:rPr>
                  <w:rFonts w:ascii="Times New Roman" w:cs="Times New Roman" w:eastAsia="Times New Roman" w:hAnsi="Times New Roman"/>
                  <w:sz w:val="16"/>
                  <w:szCs w:val="16"/>
                  <w:color w:val="0000EE"/>
                </w:rPr>
                <w:t>2019 Share Incentive Plan (incorporated herein by reference to Exhibit 10.2 to the registration statement on Form F-1 (File No.</w:t>
              </w:r>
            </w:hyperlink>
          </w:p>
        </w:tc>
        <w:tc>
          <w:tcPr>
            <w:tcW w:w="820" w:type="dxa"/>
            <w:vAlign w:val="bottom"/>
            <w:gridSpan w:val="13"/>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980" w:type="dxa"/>
            <w:vAlign w:val="bottom"/>
            <w:tcBorders>
              <w:bottom w:val="single" w:sz="8" w:color="0000EE"/>
            </w:tcBorders>
            <w:gridSpan w:val="9"/>
          </w:tcPr>
          <w:p>
            <w:pPr>
              <w:spacing w:after="0" w:line="173" w:lineRule="exact"/>
              <w:rPr>
                <w:rFonts w:ascii="Times New Roman" w:cs="Times New Roman" w:eastAsia="Times New Roman" w:hAnsi="Times New Roman"/>
                <w:sz w:val="16"/>
                <w:szCs w:val="16"/>
                <w:color w:val="0000EE"/>
                <w:w w:val="99"/>
              </w:rPr>
            </w:pPr>
            <w:hyperlink r:id="rId206">
              <w:r>
                <w:rPr>
                  <w:rFonts w:ascii="Times New Roman" w:cs="Times New Roman" w:eastAsia="Times New Roman" w:hAnsi="Times New Roman"/>
                  <w:sz w:val="16"/>
                  <w:szCs w:val="16"/>
                  <w:color w:val="0000EE"/>
                  <w:w w:val="99"/>
                </w:rPr>
                <w:t>333-233614), as amended, initially filed with the SEC on September 4, 2019)</w:t>
              </w:r>
            </w:hyperlink>
          </w:p>
        </w:tc>
        <w:tc>
          <w:tcPr>
            <w:tcW w:w="402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4.3</w:t>
            </w:r>
          </w:p>
        </w:tc>
        <w:tc>
          <w:tcPr>
            <w:tcW w:w="380" w:type="dxa"/>
            <w:vAlign w:val="bottom"/>
          </w:tcPr>
          <w:p>
            <w:pPr>
              <w:spacing w:after="0"/>
              <w:rPr>
                <w:sz w:val="23"/>
                <w:szCs w:val="23"/>
                <w:color w:val="auto"/>
              </w:rPr>
            </w:pPr>
          </w:p>
        </w:tc>
        <w:tc>
          <w:tcPr>
            <w:tcW w:w="9000" w:type="dxa"/>
            <w:vAlign w:val="bottom"/>
            <w:gridSpan w:val="27"/>
          </w:tcPr>
          <w:p>
            <w:pPr>
              <w:spacing w:after="0"/>
              <w:rPr>
                <w:rFonts w:ascii="Times New Roman" w:cs="Times New Roman" w:eastAsia="Times New Roman" w:hAnsi="Times New Roman"/>
                <w:sz w:val="16"/>
                <w:szCs w:val="16"/>
                <w:color w:val="0000EE"/>
              </w:rPr>
            </w:pPr>
            <w:hyperlink r:id="rId207">
              <w:r>
                <w:rPr>
                  <w:rFonts w:ascii="Times New Roman" w:cs="Times New Roman" w:eastAsia="Times New Roman" w:hAnsi="Times New Roman"/>
                  <w:sz w:val="16"/>
                  <w:szCs w:val="16"/>
                  <w:color w:val="0000EE"/>
                </w:rPr>
                <w:t>Form of Indemnification Agreement, between the Registrant and its directors and executive officers (incorporated herein by reference to</w:t>
              </w:r>
            </w:hyperlink>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760" w:type="dxa"/>
            <w:vAlign w:val="bottom"/>
            <w:tcBorders>
              <w:top w:val="single" w:sz="8" w:color="0000EE"/>
            </w:tcBorders>
            <w:gridSpan w:val="22"/>
          </w:tcPr>
          <w:p>
            <w:pPr>
              <w:spacing w:after="0" w:line="173" w:lineRule="exact"/>
              <w:rPr>
                <w:rFonts w:ascii="Times New Roman" w:cs="Times New Roman" w:eastAsia="Times New Roman" w:hAnsi="Times New Roman"/>
                <w:sz w:val="16"/>
                <w:szCs w:val="16"/>
                <w:color w:val="0000EE"/>
              </w:rPr>
            </w:pPr>
            <w:hyperlink r:id="rId207">
              <w:r>
                <w:rPr>
                  <w:rFonts w:ascii="Times New Roman" w:cs="Times New Roman" w:eastAsia="Times New Roman" w:hAnsi="Times New Roman"/>
                  <w:sz w:val="16"/>
                  <w:szCs w:val="16"/>
                  <w:color w:val="0000EE"/>
                </w:rPr>
                <w:t>Exhibit 10.3 to the registration statement on Form F-1 (File No. 333-233614), as amended, initially filed with the SEC on September 4,</w:t>
              </w:r>
            </w:hyperlink>
          </w:p>
        </w:tc>
        <w:tc>
          <w:tcPr>
            <w:tcW w:w="2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Borders>
              <w:top w:val="single" w:sz="8" w:color="0000EE"/>
              <w:bottom w:val="single" w:sz="8" w:color="0000EE"/>
            </w:tcBorders>
          </w:tcPr>
          <w:p>
            <w:pPr>
              <w:spacing w:after="0" w:line="173" w:lineRule="exact"/>
              <w:rPr>
                <w:rFonts w:ascii="Times New Roman" w:cs="Times New Roman" w:eastAsia="Times New Roman" w:hAnsi="Times New Roman"/>
                <w:sz w:val="16"/>
                <w:szCs w:val="16"/>
                <w:color w:val="0000EE"/>
                <w:w w:val="96"/>
              </w:rPr>
            </w:pPr>
            <w:hyperlink r:id="rId207">
              <w:r>
                <w:rPr>
                  <w:rFonts w:ascii="Times New Roman" w:cs="Times New Roman" w:eastAsia="Times New Roman" w:hAnsi="Times New Roman"/>
                  <w:sz w:val="16"/>
                  <w:szCs w:val="16"/>
                  <w:color w:val="0000EE"/>
                  <w:w w:val="96"/>
                </w:rPr>
                <w:t>2019)</w:t>
              </w:r>
            </w:hyperlink>
          </w:p>
        </w:tc>
        <w:tc>
          <w:tcPr>
            <w:tcW w:w="2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2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4.4</w:t>
            </w:r>
          </w:p>
        </w:tc>
        <w:tc>
          <w:tcPr>
            <w:tcW w:w="380" w:type="dxa"/>
            <w:vAlign w:val="bottom"/>
          </w:tcPr>
          <w:p>
            <w:pPr>
              <w:spacing w:after="0"/>
              <w:rPr>
                <w:sz w:val="23"/>
                <w:szCs w:val="23"/>
                <w:color w:val="auto"/>
              </w:rPr>
            </w:pPr>
          </w:p>
        </w:tc>
        <w:tc>
          <w:tcPr>
            <w:tcW w:w="9000" w:type="dxa"/>
            <w:vAlign w:val="bottom"/>
            <w:gridSpan w:val="27"/>
          </w:tcPr>
          <w:p>
            <w:pPr>
              <w:spacing w:after="0"/>
              <w:rPr>
                <w:rFonts w:ascii="Times New Roman" w:cs="Times New Roman" w:eastAsia="Times New Roman" w:hAnsi="Times New Roman"/>
                <w:sz w:val="16"/>
                <w:szCs w:val="16"/>
                <w:color w:val="0000EE"/>
              </w:rPr>
            </w:pPr>
            <w:hyperlink r:id="rId208">
              <w:r>
                <w:rPr>
                  <w:rFonts w:ascii="Times New Roman" w:cs="Times New Roman" w:eastAsia="Times New Roman" w:hAnsi="Times New Roman"/>
                  <w:sz w:val="16"/>
                  <w:szCs w:val="16"/>
                  <w:color w:val="0000EE"/>
                </w:rPr>
                <w:t>Form of Employment Agreement between the Registrant and its executive officers (incorporated herein by reference to Exhibit 10.4 to the</w:t>
              </w:r>
            </w:hyperlink>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80" w:type="dxa"/>
            <w:vAlign w:val="bottom"/>
            <w:tcBorders>
              <w:top w:val="single" w:sz="8" w:color="0000EE"/>
              <w:bottom w:val="single" w:sz="8" w:color="0000EE"/>
            </w:tcBorders>
            <w:gridSpan w:val="13"/>
          </w:tcPr>
          <w:p>
            <w:pPr>
              <w:spacing w:after="0" w:line="173" w:lineRule="exact"/>
              <w:rPr>
                <w:rFonts w:ascii="Times New Roman" w:cs="Times New Roman" w:eastAsia="Times New Roman" w:hAnsi="Times New Roman"/>
                <w:sz w:val="16"/>
                <w:szCs w:val="16"/>
                <w:color w:val="0000EE"/>
              </w:rPr>
            </w:pPr>
            <w:hyperlink r:id="rId208">
              <w:r>
                <w:rPr>
                  <w:rFonts w:ascii="Times New Roman" w:cs="Times New Roman" w:eastAsia="Times New Roman" w:hAnsi="Times New Roman"/>
                  <w:sz w:val="16"/>
                  <w:szCs w:val="16"/>
                  <w:color w:val="0000EE"/>
                </w:rPr>
                <w:t>registration statement on Form F-1 (File No. 333-233614), as amended, initially filed with the SEC on September 4, 2019)</w:t>
              </w:r>
            </w:hyperlink>
          </w:p>
        </w:tc>
        <w:tc>
          <w:tcPr>
            <w:tcW w:w="1000" w:type="dxa"/>
            <w:vAlign w:val="bottom"/>
            <w:tcBorders>
              <w:top w:val="single" w:sz="8" w:color="0000EE"/>
            </w:tcBorders>
            <w:gridSpan w:val="11"/>
          </w:tcPr>
          <w:p>
            <w:pPr>
              <w:spacing w:after="0"/>
              <w:rPr>
                <w:sz w:val="15"/>
                <w:szCs w:val="15"/>
                <w:color w:val="auto"/>
              </w:rPr>
            </w:pPr>
          </w:p>
        </w:tc>
        <w:tc>
          <w:tcPr>
            <w:tcW w:w="1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4.5</w:t>
            </w:r>
          </w:p>
        </w:tc>
        <w:tc>
          <w:tcPr>
            <w:tcW w:w="380" w:type="dxa"/>
            <w:vAlign w:val="bottom"/>
          </w:tcPr>
          <w:p>
            <w:pPr>
              <w:spacing w:after="0"/>
              <w:rPr>
                <w:sz w:val="23"/>
                <w:szCs w:val="23"/>
                <w:color w:val="auto"/>
              </w:rPr>
            </w:pPr>
          </w:p>
        </w:tc>
        <w:tc>
          <w:tcPr>
            <w:tcW w:w="8900" w:type="dxa"/>
            <w:vAlign w:val="bottom"/>
            <w:tcBorders>
              <w:bottom w:val="single" w:sz="8" w:color="0000EE"/>
            </w:tcBorders>
            <w:gridSpan w:val="25"/>
          </w:tcPr>
          <w:p>
            <w:pPr>
              <w:spacing w:after="0"/>
              <w:rPr>
                <w:rFonts w:ascii="Times New Roman" w:cs="Times New Roman" w:eastAsia="Times New Roman" w:hAnsi="Times New Roman"/>
                <w:sz w:val="16"/>
                <w:szCs w:val="16"/>
                <w:color w:val="0000EE"/>
              </w:rPr>
            </w:pPr>
            <w:hyperlink r:id="rId209">
              <w:r>
                <w:rPr>
                  <w:rFonts w:ascii="Times New Roman" w:cs="Times New Roman" w:eastAsia="Times New Roman" w:hAnsi="Times New Roman"/>
                  <w:sz w:val="16"/>
                  <w:szCs w:val="16"/>
                  <w:color w:val="0000EE"/>
                </w:rPr>
                <w:t>English translation of executed Exclusive Business Cooperation Agreement among our WFOE, the VIE and its shareholders (incorporated</w:t>
              </w:r>
            </w:hyperlink>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720" w:type="dxa"/>
            <w:vAlign w:val="bottom"/>
            <w:tcBorders>
              <w:bottom w:val="single" w:sz="8" w:color="0000EE"/>
            </w:tcBorders>
            <w:gridSpan w:val="21"/>
          </w:tcPr>
          <w:p>
            <w:pPr>
              <w:spacing w:after="0" w:line="173" w:lineRule="exact"/>
              <w:rPr>
                <w:rFonts w:ascii="Times New Roman" w:cs="Times New Roman" w:eastAsia="Times New Roman" w:hAnsi="Times New Roman"/>
                <w:sz w:val="16"/>
                <w:szCs w:val="16"/>
                <w:color w:val="0000EE"/>
              </w:rPr>
            </w:pPr>
            <w:hyperlink r:id="rId209">
              <w:r>
                <w:rPr>
                  <w:rFonts w:ascii="Times New Roman" w:cs="Times New Roman" w:eastAsia="Times New Roman" w:hAnsi="Times New Roman"/>
                  <w:sz w:val="16"/>
                  <w:szCs w:val="16"/>
                  <w:color w:val="0000EE"/>
                </w:rPr>
                <w:t>herein by reference to Exhibit 10.5 to the registration statement on Form F-1 (File No. 333-233614), as amended, initially filed with the</w:t>
              </w:r>
            </w:hyperlink>
          </w:p>
        </w:tc>
        <w:tc>
          <w:tcPr>
            <w:tcW w:w="2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tcBorders>
              <w:bottom w:val="single" w:sz="8" w:color="0000EE"/>
            </w:tcBorders>
            <w:gridSpan w:val="5"/>
          </w:tcPr>
          <w:p>
            <w:pPr>
              <w:spacing w:after="0" w:line="173" w:lineRule="exact"/>
              <w:rPr>
                <w:rFonts w:ascii="Times New Roman" w:cs="Times New Roman" w:eastAsia="Times New Roman" w:hAnsi="Times New Roman"/>
                <w:sz w:val="16"/>
                <w:szCs w:val="16"/>
                <w:color w:val="0000EE"/>
                <w:w w:val="99"/>
              </w:rPr>
            </w:pPr>
            <w:hyperlink r:id="rId209">
              <w:r>
                <w:rPr>
                  <w:rFonts w:ascii="Times New Roman" w:cs="Times New Roman" w:eastAsia="Times New Roman" w:hAnsi="Times New Roman"/>
                  <w:sz w:val="16"/>
                  <w:szCs w:val="16"/>
                  <w:color w:val="0000EE"/>
                  <w:w w:val="99"/>
                </w:rPr>
                <w:t>SEC on September 4, 2019)</w:t>
              </w:r>
            </w:hyperlink>
          </w:p>
        </w:tc>
        <w:tc>
          <w:tcPr>
            <w:tcW w:w="720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4.6</w:t>
            </w:r>
          </w:p>
        </w:tc>
        <w:tc>
          <w:tcPr>
            <w:tcW w:w="380" w:type="dxa"/>
            <w:vAlign w:val="bottom"/>
          </w:tcPr>
          <w:p>
            <w:pPr>
              <w:spacing w:after="0"/>
              <w:rPr>
                <w:sz w:val="23"/>
                <w:szCs w:val="23"/>
                <w:color w:val="auto"/>
              </w:rPr>
            </w:pPr>
          </w:p>
        </w:tc>
        <w:tc>
          <w:tcPr>
            <w:tcW w:w="8340" w:type="dxa"/>
            <w:vAlign w:val="bottom"/>
            <w:tcBorders>
              <w:bottom w:val="single" w:sz="8" w:color="0000EE"/>
            </w:tcBorders>
            <w:gridSpan w:val="17"/>
          </w:tcPr>
          <w:p>
            <w:pPr>
              <w:spacing w:after="0"/>
              <w:rPr>
                <w:rFonts w:ascii="Times New Roman" w:cs="Times New Roman" w:eastAsia="Times New Roman" w:hAnsi="Times New Roman"/>
                <w:sz w:val="16"/>
                <w:szCs w:val="16"/>
                <w:color w:val="0000EE"/>
                <w:w w:val="99"/>
              </w:rPr>
            </w:pPr>
            <w:hyperlink r:id="rId210">
              <w:r>
                <w:rPr>
                  <w:rFonts w:ascii="Times New Roman" w:cs="Times New Roman" w:eastAsia="Times New Roman" w:hAnsi="Times New Roman"/>
                  <w:sz w:val="16"/>
                  <w:szCs w:val="16"/>
                  <w:color w:val="0000EE"/>
                  <w:w w:val="99"/>
                </w:rPr>
                <w:t>English translation of form of executed Power of Attorney signed by shareholders of the VIE (incorporated herein by reference to</w:t>
              </w:r>
            </w:hyperlink>
          </w:p>
        </w:tc>
        <w:tc>
          <w:tcPr>
            <w:tcW w:w="660" w:type="dxa"/>
            <w:vAlign w:val="bottom"/>
            <w:gridSpan w:val="10"/>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0" w:type="dxa"/>
            <w:vAlign w:val="bottom"/>
            <w:gridSpan w:val="27"/>
          </w:tcPr>
          <w:p>
            <w:pPr>
              <w:spacing w:after="0" w:line="173" w:lineRule="exact"/>
              <w:rPr>
                <w:rFonts w:ascii="Times New Roman" w:cs="Times New Roman" w:eastAsia="Times New Roman" w:hAnsi="Times New Roman"/>
                <w:sz w:val="16"/>
                <w:szCs w:val="16"/>
                <w:color w:val="0000EE"/>
              </w:rPr>
            </w:pPr>
            <w:hyperlink r:id="rId210">
              <w:r>
                <w:rPr>
                  <w:rFonts w:ascii="Times New Roman" w:cs="Times New Roman" w:eastAsia="Times New Roman" w:hAnsi="Times New Roman"/>
                  <w:sz w:val="16"/>
                  <w:szCs w:val="16"/>
                  <w:color w:val="0000EE"/>
                </w:rPr>
                <w:t>Exhibit 10.6 to the registration statement on Form F-1 (File No. 333-233614), as amended, initially filed with the SEC on September 4,</w:t>
              </w:r>
            </w:hyperlink>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top w:val="single" w:sz="8" w:color="0000EE"/>
              <w:bottom w:val="single" w:sz="8" w:color="0000EE"/>
            </w:tcBorders>
            <w:gridSpan w:val="2"/>
          </w:tcPr>
          <w:p>
            <w:pPr>
              <w:spacing w:after="0" w:line="173" w:lineRule="exact"/>
              <w:rPr>
                <w:rFonts w:ascii="Times New Roman" w:cs="Times New Roman" w:eastAsia="Times New Roman" w:hAnsi="Times New Roman"/>
                <w:sz w:val="16"/>
                <w:szCs w:val="16"/>
                <w:color w:val="0000EE"/>
              </w:rPr>
            </w:pPr>
            <w:hyperlink r:id="rId210">
              <w:r>
                <w:rPr>
                  <w:rFonts w:ascii="Times New Roman" w:cs="Times New Roman" w:eastAsia="Times New Roman" w:hAnsi="Times New Roman"/>
                  <w:sz w:val="16"/>
                  <w:szCs w:val="16"/>
                  <w:color w:val="0000EE"/>
                </w:rPr>
                <w:t>2019)</w:t>
              </w:r>
            </w:hyperlink>
          </w:p>
        </w:tc>
        <w:tc>
          <w:tcPr>
            <w:tcW w:w="8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2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4.7</w:t>
            </w:r>
          </w:p>
        </w:tc>
        <w:tc>
          <w:tcPr>
            <w:tcW w:w="380" w:type="dxa"/>
            <w:vAlign w:val="bottom"/>
          </w:tcPr>
          <w:p>
            <w:pPr>
              <w:spacing w:after="0"/>
              <w:rPr>
                <w:sz w:val="23"/>
                <w:szCs w:val="23"/>
                <w:color w:val="auto"/>
              </w:rPr>
            </w:pPr>
          </w:p>
        </w:tc>
        <w:tc>
          <w:tcPr>
            <w:tcW w:w="9000" w:type="dxa"/>
            <w:vAlign w:val="bottom"/>
            <w:gridSpan w:val="27"/>
          </w:tcPr>
          <w:p>
            <w:pPr>
              <w:spacing w:after="0"/>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English translation of executed Equity Pledge Agreement among our WFOE, the VIE and its shareholders (incorporated herein by</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40" w:type="dxa"/>
            <w:vAlign w:val="bottom"/>
            <w:gridSpan w:val="10"/>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20" w:type="dxa"/>
            <w:vAlign w:val="bottom"/>
            <w:tcBorders>
              <w:bottom w:val="single" w:sz="8" w:color="0000EE"/>
            </w:tcBorders>
            <w:gridSpan w:val="18"/>
          </w:tcPr>
          <w:p>
            <w:pPr>
              <w:spacing w:after="0" w:line="173"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reference to Exhibit 10.7 to the registration statement on Form F-1 (File No. 333-233614), as amended, initially filed with the SEC on</w:t>
              </w:r>
            </w:hyperlink>
          </w:p>
        </w:tc>
        <w:tc>
          <w:tcPr>
            <w:tcW w:w="3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0" w:type="dxa"/>
            <w:vAlign w:val="bottom"/>
            <w:gridSpan w:val="27"/>
          </w:tcPr>
          <w:p>
            <w:pPr>
              <w:spacing w:after="0" w:line="173"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September 4, 2019)</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40" w:type="dxa"/>
            <w:vAlign w:val="bottom"/>
            <w:gridSpan w:val="10"/>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4.8</w:t>
            </w:r>
          </w:p>
        </w:tc>
        <w:tc>
          <w:tcPr>
            <w:tcW w:w="380" w:type="dxa"/>
            <w:vAlign w:val="bottom"/>
          </w:tcPr>
          <w:p>
            <w:pPr>
              <w:spacing w:after="0"/>
              <w:rPr>
                <w:sz w:val="23"/>
                <w:szCs w:val="23"/>
                <w:color w:val="auto"/>
              </w:rPr>
            </w:pPr>
          </w:p>
        </w:tc>
        <w:tc>
          <w:tcPr>
            <w:tcW w:w="9000" w:type="dxa"/>
            <w:vAlign w:val="bottom"/>
            <w:gridSpan w:val="27"/>
          </w:tcPr>
          <w:p>
            <w:pPr>
              <w:spacing w:after="0"/>
              <w:rPr>
                <w:rFonts w:ascii="Times New Roman" w:cs="Times New Roman" w:eastAsia="Times New Roman" w:hAnsi="Times New Roman"/>
                <w:sz w:val="16"/>
                <w:szCs w:val="16"/>
                <w:color w:val="0000EE"/>
              </w:rPr>
            </w:pPr>
            <w:hyperlink r:id="rId212">
              <w:r>
                <w:rPr>
                  <w:rFonts w:ascii="Times New Roman" w:cs="Times New Roman" w:eastAsia="Times New Roman" w:hAnsi="Times New Roman"/>
                  <w:sz w:val="16"/>
                  <w:szCs w:val="16"/>
                  <w:color w:val="0000EE"/>
                </w:rPr>
                <w:t>English translation of executed Exclusive Option and Equity Custody Agreement among our WFOE, the VIE and its shareholders</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40" w:type="dxa"/>
            <w:vAlign w:val="bottom"/>
            <w:gridSpan w:val="10"/>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0" w:type="dxa"/>
            <w:vAlign w:val="bottom"/>
            <w:gridSpan w:val="27"/>
          </w:tcPr>
          <w:p>
            <w:pPr>
              <w:spacing w:after="0" w:line="173" w:lineRule="exact"/>
              <w:rPr>
                <w:rFonts w:ascii="Times New Roman" w:cs="Times New Roman" w:eastAsia="Times New Roman" w:hAnsi="Times New Roman"/>
                <w:sz w:val="16"/>
                <w:szCs w:val="16"/>
                <w:color w:val="0000EE"/>
              </w:rPr>
            </w:pPr>
            <w:hyperlink r:id="rId212">
              <w:r>
                <w:rPr>
                  <w:rFonts w:ascii="Times New Roman" w:cs="Times New Roman" w:eastAsia="Times New Roman" w:hAnsi="Times New Roman"/>
                  <w:sz w:val="16"/>
                  <w:szCs w:val="16"/>
                  <w:color w:val="0000EE"/>
                </w:rPr>
                <w:t>(incorporated herein by reference to Exhibit 10.8 to the registration statement on Form F-1 (File No. 333-233614), as amended, initially</w:t>
              </w:r>
            </w:hyperlink>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00" w:type="dxa"/>
            <w:vAlign w:val="bottom"/>
            <w:tcBorders>
              <w:top w:val="single" w:sz="8" w:color="0000EE"/>
              <w:bottom w:val="single" w:sz="8" w:color="0000EE"/>
            </w:tcBorders>
            <w:gridSpan w:val="7"/>
          </w:tcPr>
          <w:p>
            <w:pPr>
              <w:spacing w:after="0" w:line="173" w:lineRule="exact"/>
              <w:rPr>
                <w:rFonts w:ascii="Times New Roman" w:cs="Times New Roman" w:eastAsia="Times New Roman" w:hAnsi="Times New Roman"/>
                <w:sz w:val="16"/>
                <w:szCs w:val="16"/>
                <w:color w:val="0000EE"/>
                <w:w w:val="99"/>
              </w:rPr>
            </w:pPr>
            <w:hyperlink r:id="rId212">
              <w:r>
                <w:rPr>
                  <w:rFonts w:ascii="Times New Roman" w:cs="Times New Roman" w:eastAsia="Times New Roman" w:hAnsi="Times New Roman"/>
                  <w:sz w:val="16"/>
                  <w:szCs w:val="16"/>
                  <w:color w:val="0000EE"/>
                  <w:w w:val="99"/>
                </w:rPr>
                <w:t>filed with the SEC on September 4, 2019)</w:t>
              </w:r>
            </w:hyperlink>
          </w:p>
        </w:tc>
        <w:tc>
          <w:tcPr>
            <w:tcW w:w="6020" w:type="dxa"/>
            <w:vAlign w:val="bottom"/>
            <w:tcBorders>
              <w:top w:val="single" w:sz="8" w:color="0000EE"/>
            </w:tcBorders>
            <w:gridSpan w:val="14"/>
          </w:tcPr>
          <w:p>
            <w:pPr>
              <w:spacing w:after="0"/>
              <w:rPr>
                <w:sz w:val="15"/>
                <w:szCs w:val="15"/>
                <w:color w:val="auto"/>
              </w:rPr>
            </w:pPr>
          </w:p>
        </w:tc>
        <w:tc>
          <w:tcPr>
            <w:tcW w:w="2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9"/>
              </w:rPr>
              <w:t>8.1*</w:t>
            </w:r>
          </w:p>
        </w:tc>
        <w:tc>
          <w:tcPr>
            <w:tcW w:w="380" w:type="dxa"/>
            <w:vAlign w:val="bottom"/>
          </w:tcPr>
          <w:p>
            <w:pPr>
              <w:spacing w:after="0"/>
              <w:rPr>
                <w:sz w:val="23"/>
                <w:szCs w:val="23"/>
                <w:color w:val="auto"/>
              </w:rPr>
            </w:pPr>
          </w:p>
        </w:tc>
        <w:tc>
          <w:tcPr>
            <w:tcW w:w="25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w w:val="99"/>
              </w:rPr>
              <w:t>Principal Subsidiaries of the Registrant</w:t>
            </w:r>
          </w:p>
        </w:tc>
        <w:tc>
          <w:tcPr>
            <w:tcW w:w="6480" w:type="dxa"/>
            <w:vAlign w:val="bottom"/>
            <w:gridSpan w:val="21"/>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60" w:type="dxa"/>
            <w:vAlign w:val="bottom"/>
            <w:gridSpan w:val="8"/>
          </w:tcPr>
          <w:p>
            <w:pPr>
              <w:ind w:left="3960"/>
              <w:spacing w:after="0"/>
              <w:rPr>
                <w:sz w:val="20"/>
                <w:szCs w:val="20"/>
                <w:color w:val="auto"/>
              </w:rPr>
            </w:pPr>
            <w:r>
              <w:rPr>
                <w:rFonts w:ascii="Times New Roman" w:cs="Times New Roman" w:eastAsia="Times New Roman" w:hAnsi="Times New Roman"/>
                <w:sz w:val="16"/>
                <w:szCs w:val="16"/>
                <w:color w:val="auto"/>
              </w:rPr>
              <w:t>163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320" w:top="447" w:right="1039" w:bottom="1440" w:gutter="0" w:footer="0" w:header="0"/>
        </w:sectPr>
      </w:pPr>
    </w:p>
    <w:bookmarkStart w:id="166" w:name="page167"/>
    <w:bookmarkEnd w:id="1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187565" cy="50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1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EE"/>
              </w:rPr>
              <w:t>Table of Contents</w:t>
            </w:r>
          </w:p>
        </w:tc>
        <w:tc>
          <w:tcPr>
            <w:tcW w:w="3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438"/>
        </w:trPr>
        <w:tc>
          <w:tcPr>
            <w:tcW w:w="1200" w:type="dxa"/>
            <w:vAlign w:val="bottom"/>
            <w:tcBorders>
              <w:top w:val="single" w:sz="8" w:color="0000EE"/>
            </w:tcBorders>
          </w:tcPr>
          <w:p>
            <w:pPr>
              <w:ind w:left="780"/>
              <w:spacing w:after="0"/>
              <w:rPr>
                <w:sz w:val="20"/>
                <w:szCs w:val="20"/>
                <w:color w:val="auto"/>
              </w:rPr>
            </w:pPr>
            <w:r>
              <w:rPr>
                <w:rFonts w:ascii="Times New Roman" w:cs="Times New Roman" w:eastAsia="Times New Roman" w:hAnsi="Times New Roman"/>
                <w:sz w:val="16"/>
                <w:szCs w:val="16"/>
                <w:color w:val="auto"/>
              </w:rPr>
              <w:t>11.1</w:t>
            </w:r>
          </w:p>
        </w:tc>
        <w:tc>
          <w:tcPr>
            <w:tcW w:w="560" w:type="dxa"/>
            <w:vAlign w:val="bottom"/>
          </w:tcPr>
          <w:p>
            <w:pPr>
              <w:spacing w:after="0"/>
              <w:rPr>
                <w:sz w:val="24"/>
                <w:szCs w:val="24"/>
                <w:color w:val="auto"/>
              </w:rPr>
            </w:pPr>
          </w:p>
        </w:tc>
        <w:tc>
          <w:tcPr>
            <w:tcW w:w="8560" w:type="dxa"/>
            <w:vAlign w:val="bottom"/>
            <w:tcBorders>
              <w:bottom w:val="single" w:sz="8" w:color="0000EE"/>
            </w:tcBorders>
            <w:gridSpan w:val="7"/>
          </w:tcPr>
          <w:p>
            <w:pPr>
              <w:spacing w:after="0"/>
              <w:rPr>
                <w:rFonts w:ascii="Times New Roman" w:cs="Times New Roman" w:eastAsia="Times New Roman" w:hAnsi="Times New Roman"/>
                <w:sz w:val="16"/>
                <w:szCs w:val="16"/>
                <w:color w:val="0000EE"/>
              </w:rPr>
            </w:pPr>
            <w:hyperlink r:id="rId214">
              <w:r>
                <w:rPr>
                  <w:rFonts w:ascii="Times New Roman" w:cs="Times New Roman" w:eastAsia="Times New Roman" w:hAnsi="Times New Roman"/>
                  <w:sz w:val="16"/>
                  <w:szCs w:val="16"/>
                  <w:color w:val="0000EE"/>
                </w:rPr>
                <w:t>Code of Business Conduct and Ethics of the Registrant (incorporated herein by reference to Exhibit 99.1 to the registration statement</w:t>
              </w:r>
            </w:hyperlink>
          </w:p>
        </w:tc>
      </w:tr>
      <w:tr>
        <w:trPr>
          <w:trHeight w:val="173"/>
        </w:trPr>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60" w:type="dxa"/>
            <w:vAlign w:val="bottom"/>
            <w:tcBorders>
              <w:bottom w:val="single" w:sz="8" w:color="0000EE"/>
            </w:tcBorders>
            <w:gridSpan w:val="6"/>
          </w:tcPr>
          <w:p>
            <w:pPr>
              <w:spacing w:after="0" w:line="173" w:lineRule="exact"/>
              <w:rPr>
                <w:rFonts w:ascii="Times New Roman" w:cs="Times New Roman" w:eastAsia="Times New Roman" w:hAnsi="Times New Roman"/>
                <w:sz w:val="16"/>
                <w:szCs w:val="16"/>
                <w:color w:val="0000EE"/>
              </w:rPr>
            </w:pPr>
            <w:hyperlink r:id="rId214">
              <w:r>
                <w:rPr>
                  <w:rFonts w:ascii="Times New Roman" w:cs="Times New Roman" w:eastAsia="Times New Roman" w:hAnsi="Times New Roman"/>
                  <w:sz w:val="16"/>
                  <w:szCs w:val="16"/>
                  <w:color w:val="0000EE"/>
                </w:rPr>
                <w:t>on Form F-1 (File No. 333-233614), as amended, initially filed with the SEC on September 4, 2019)</w:t>
              </w:r>
            </w:hyperlink>
          </w:p>
        </w:tc>
        <w:tc>
          <w:tcPr>
            <w:tcW w:w="2100" w:type="dxa"/>
            <w:vAlign w:val="bottom"/>
          </w:tcPr>
          <w:p>
            <w:pPr>
              <w:spacing w:after="0"/>
              <w:rPr>
                <w:sz w:val="15"/>
                <w:szCs w:val="15"/>
                <w:color w:val="auto"/>
              </w:rPr>
            </w:pPr>
          </w:p>
        </w:tc>
      </w:tr>
      <w:tr>
        <w:trPr>
          <w:trHeight w:val="269"/>
        </w:trPr>
        <w:tc>
          <w:tcPr>
            <w:tcW w:w="12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12.1*</w:t>
            </w:r>
          </w:p>
        </w:tc>
        <w:tc>
          <w:tcPr>
            <w:tcW w:w="560" w:type="dxa"/>
            <w:vAlign w:val="bottom"/>
          </w:tcPr>
          <w:p>
            <w:pPr>
              <w:spacing w:after="0"/>
              <w:rPr>
                <w:sz w:val="23"/>
                <w:szCs w:val="23"/>
                <w:color w:val="auto"/>
              </w:rPr>
            </w:pPr>
          </w:p>
        </w:tc>
        <w:tc>
          <w:tcPr>
            <w:tcW w:w="51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CEO Certification Pursuant to Section 302 of the Sarbanes-Oxley Act of 2002.</w:t>
            </w:r>
          </w:p>
        </w:tc>
        <w:tc>
          <w:tcPr>
            <w:tcW w:w="3460" w:type="dxa"/>
            <w:vAlign w:val="bottom"/>
            <w:gridSpan w:val="2"/>
          </w:tcPr>
          <w:p>
            <w:pPr>
              <w:spacing w:after="0"/>
              <w:rPr>
                <w:sz w:val="23"/>
                <w:szCs w:val="23"/>
                <w:color w:val="auto"/>
              </w:rPr>
            </w:pPr>
          </w:p>
        </w:tc>
      </w:tr>
      <w:tr>
        <w:trPr>
          <w:trHeight w:val="269"/>
        </w:trPr>
        <w:tc>
          <w:tcPr>
            <w:tcW w:w="12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12.2*</w:t>
            </w:r>
          </w:p>
        </w:tc>
        <w:tc>
          <w:tcPr>
            <w:tcW w:w="560" w:type="dxa"/>
            <w:vAlign w:val="bottom"/>
          </w:tcPr>
          <w:p>
            <w:pPr>
              <w:spacing w:after="0"/>
              <w:rPr>
                <w:sz w:val="23"/>
                <w:szCs w:val="23"/>
                <w:color w:val="auto"/>
              </w:rPr>
            </w:pPr>
          </w:p>
        </w:tc>
        <w:tc>
          <w:tcPr>
            <w:tcW w:w="5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CFO Certification Pursuant to Section 302 of the Sarbanes-Oxley Act of 2002.</w:t>
            </w:r>
          </w:p>
        </w:tc>
        <w:tc>
          <w:tcPr>
            <w:tcW w:w="3480" w:type="dxa"/>
            <w:vAlign w:val="bottom"/>
            <w:gridSpan w:val="3"/>
          </w:tcPr>
          <w:p>
            <w:pPr>
              <w:spacing w:after="0"/>
              <w:rPr>
                <w:sz w:val="23"/>
                <w:szCs w:val="23"/>
                <w:color w:val="auto"/>
              </w:rPr>
            </w:pPr>
          </w:p>
        </w:tc>
      </w:tr>
      <w:tr>
        <w:trPr>
          <w:trHeight w:val="269"/>
        </w:trPr>
        <w:tc>
          <w:tcPr>
            <w:tcW w:w="12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12.3*</w:t>
            </w:r>
          </w:p>
        </w:tc>
        <w:tc>
          <w:tcPr>
            <w:tcW w:w="560" w:type="dxa"/>
            <w:vAlign w:val="bottom"/>
          </w:tcPr>
          <w:p>
            <w:pPr>
              <w:spacing w:after="0"/>
              <w:rPr>
                <w:sz w:val="23"/>
                <w:szCs w:val="23"/>
                <w:color w:val="auto"/>
              </w:rPr>
            </w:pPr>
          </w:p>
        </w:tc>
        <w:tc>
          <w:tcPr>
            <w:tcW w:w="5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CFO Certification Pursuant to Section 302 of the Sarbanes-Oxley Act of 2002.</w:t>
            </w:r>
          </w:p>
        </w:tc>
        <w:tc>
          <w:tcPr>
            <w:tcW w:w="3480" w:type="dxa"/>
            <w:vAlign w:val="bottom"/>
            <w:gridSpan w:val="3"/>
          </w:tcPr>
          <w:p>
            <w:pPr>
              <w:spacing w:after="0"/>
              <w:rPr>
                <w:sz w:val="23"/>
                <w:szCs w:val="23"/>
                <w:color w:val="auto"/>
              </w:rPr>
            </w:pPr>
          </w:p>
        </w:tc>
      </w:tr>
      <w:tr>
        <w:trPr>
          <w:trHeight w:val="269"/>
        </w:trPr>
        <w:tc>
          <w:tcPr>
            <w:tcW w:w="17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13.1**</w:t>
            </w:r>
          </w:p>
        </w:tc>
        <w:tc>
          <w:tcPr>
            <w:tcW w:w="51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CEO Certification Pursuant to Section 906 of the Sarbanes-Oxley Act of 2002.</w:t>
            </w:r>
          </w:p>
        </w:tc>
        <w:tc>
          <w:tcPr>
            <w:tcW w:w="3460" w:type="dxa"/>
            <w:vAlign w:val="bottom"/>
            <w:gridSpan w:val="2"/>
          </w:tcPr>
          <w:p>
            <w:pPr>
              <w:spacing w:after="0"/>
              <w:rPr>
                <w:sz w:val="23"/>
                <w:szCs w:val="23"/>
                <w:color w:val="auto"/>
              </w:rPr>
            </w:pPr>
          </w:p>
        </w:tc>
      </w:tr>
      <w:tr>
        <w:trPr>
          <w:trHeight w:val="269"/>
        </w:trPr>
        <w:tc>
          <w:tcPr>
            <w:tcW w:w="17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13.2**</w:t>
            </w:r>
          </w:p>
        </w:tc>
        <w:tc>
          <w:tcPr>
            <w:tcW w:w="5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CFO Certification Pursuant to Section 906 of the Sarbanes-Oxley Act of 2002.</w:t>
            </w:r>
          </w:p>
        </w:tc>
        <w:tc>
          <w:tcPr>
            <w:tcW w:w="3480" w:type="dxa"/>
            <w:vAlign w:val="bottom"/>
            <w:gridSpan w:val="3"/>
          </w:tcPr>
          <w:p>
            <w:pPr>
              <w:spacing w:after="0"/>
              <w:rPr>
                <w:sz w:val="23"/>
                <w:szCs w:val="23"/>
                <w:color w:val="auto"/>
              </w:rPr>
            </w:pPr>
          </w:p>
        </w:tc>
      </w:tr>
      <w:tr>
        <w:trPr>
          <w:trHeight w:val="269"/>
        </w:trPr>
        <w:tc>
          <w:tcPr>
            <w:tcW w:w="17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13.3**</w:t>
            </w:r>
          </w:p>
        </w:tc>
        <w:tc>
          <w:tcPr>
            <w:tcW w:w="856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CFO Certification Pursuant to Section 906 of the Sarbanes-Oxley Act of 2002.</w:t>
            </w:r>
          </w:p>
        </w:tc>
      </w:tr>
      <w:tr>
        <w:trPr>
          <w:trHeight w:val="269"/>
        </w:trPr>
        <w:tc>
          <w:tcPr>
            <w:tcW w:w="12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15.1*</w:t>
            </w:r>
          </w:p>
        </w:tc>
        <w:tc>
          <w:tcPr>
            <w:tcW w:w="560" w:type="dxa"/>
            <w:vAlign w:val="bottom"/>
          </w:tcPr>
          <w:p>
            <w:pPr>
              <w:spacing w:after="0"/>
              <w:rPr>
                <w:sz w:val="23"/>
                <w:szCs w:val="23"/>
                <w:color w:val="auto"/>
              </w:rPr>
            </w:pPr>
          </w:p>
        </w:tc>
        <w:tc>
          <w:tcPr>
            <w:tcW w:w="34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Consent of PricewaterhouseCoopers Zhong Tian LLP</w:t>
            </w:r>
          </w:p>
        </w:tc>
        <w:tc>
          <w:tcPr>
            <w:tcW w:w="1600" w:type="dxa"/>
            <w:vAlign w:val="bottom"/>
            <w:tcBorders>
              <w:top w:val="single" w:sz="8" w:color="0000EE"/>
            </w:tcBorders>
          </w:tcPr>
          <w:p>
            <w:pPr>
              <w:spacing w:after="0"/>
              <w:rPr>
                <w:sz w:val="23"/>
                <w:szCs w:val="23"/>
                <w:color w:val="auto"/>
              </w:rPr>
            </w:pPr>
          </w:p>
        </w:tc>
        <w:tc>
          <w:tcPr>
            <w:tcW w:w="3500" w:type="dxa"/>
            <w:vAlign w:val="bottom"/>
            <w:gridSpan w:val="4"/>
          </w:tcPr>
          <w:p>
            <w:pPr>
              <w:spacing w:after="0"/>
              <w:rPr>
                <w:sz w:val="23"/>
                <w:szCs w:val="23"/>
                <w:color w:val="auto"/>
              </w:rPr>
            </w:pPr>
          </w:p>
        </w:tc>
      </w:tr>
      <w:tr>
        <w:trPr>
          <w:trHeight w:val="269"/>
        </w:trPr>
        <w:tc>
          <w:tcPr>
            <w:tcW w:w="12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15.2*</w:t>
            </w:r>
          </w:p>
        </w:tc>
        <w:tc>
          <w:tcPr>
            <w:tcW w:w="560" w:type="dxa"/>
            <w:vAlign w:val="bottom"/>
          </w:tcPr>
          <w:p>
            <w:pPr>
              <w:spacing w:after="0"/>
              <w:rPr>
                <w:sz w:val="23"/>
                <w:szCs w:val="23"/>
                <w:color w:val="auto"/>
              </w:rPr>
            </w:pPr>
          </w:p>
        </w:tc>
        <w:tc>
          <w:tcPr>
            <w:tcW w:w="856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Consent of Commerce &amp; Finance Law Offices</w:t>
            </w:r>
          </w:p>
        </w:tc>
      </w:tr>
      <w:tr>
        <w:trPr>
          <w:trHeight w:val="20"/>
        </w:trPr>
        <w:tc>
          <w:tcPr>
            <w:tcW w:w="1760" w:type="dxa"/>
            <w:vAlign w:val="bottom"/>
            <w:gridSpan w:val="2"/>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r>
      <w:tr>
        <w:trPr>
          <w:trHeight w:val="289"/>
        </w:trPr>
        <w:tc>
          <w:tcPr>
            <w:tcW w:w="17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101.INS*</w:t>
            </w:r>
          </w:p>
        </w:tc>
        <w:tc>
          <w:tcPr>
            <w:tcW w:w="85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Instance Document—this instance document does not appear on the Interactive Data File because its XBRL tags are</w:t>
            </w:r>
          </w:p>
        </w:tc>
      </w:tr>
      <w:tr>
        <w:trPr>
          <w:trHeight w:val="209"/>
        </w:trPr>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5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r>
      <w:tr>
        <w:trPr>
          <w:trHeight w:val="289"/>
        </w:trPr>
        <w:tc>
          <w:tcPr>
            <w:tcW w:w="17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101.SCH*</w:t>
            </w:r>
          </w:p>
        </w:tc>
        <w:tc>
          <w:tcPr>
            <w:tcW w:w="85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89"/>
        </w:trPr>
        <w:tc>
          <w:tcPr>
            <w:tcW w:w="17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101.CAL*</w:t>
            </w:r>
          </w:p>
        </w:tc>
        <w:tc>
          <w:tcPr>
            <w:tcW w:w="85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289"/>
        </w:trPr>
        <w:tc>
          <w:tcPr>
            <w:tcW w:w="17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101.DEF*</w:t>
            </w:r>
          </w:p>
        </w:tc>
        <w:tc>
          <w:tcPr>
            <w:tcW w:w="85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289"/>
        </w:trPr>
        <w:tc>
          <w:tcPr>
            <w:tcW w:w="17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101.LAB*</w:t>
            </w:r>
          </w:p>
        </w:tc>
        <w:tc>
          <w:tcPr>
            <w:tcW w:w="85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89"/>
        </w:trPr>
        <w:tc>
          <w:tcPr>
            <w:tcW w:w="17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101.PRE*</w:t>
            </w:r>
          </w:p>
        </w:tc>
        <w:tc>
          <w:tcPr>
            <w:tcW w:w="85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289"/>
        </w:trPr>
        <w:tc>
          <w:tcPr>
            <w:tcW w:w="12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104</w:t>
            </w:r>
          </w:p>
        </w:tc>
        <w:tc>
          <w:tcPr>
            <w:tcW w:w="560" w:type="dxa"/>
            <w:vAlign w:val="bottom"/>
          </w:tcPr>
          <w:p>
            <w:pPr>
              <w:spacing w:after="0"/>
              <w:rPr>
                <w:sz w:val="24"/>
                <w:szCs w:val="24"/>
                <w:color w:val="auto"/>
              </w:rPr>
            </w:pPr>
          </w:p>
        </w:tc>
        <w:tc>
          <w:tcPr>
            <w:tcW w:w="85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84455</wp:posOffset>
            </wp:positionV>
            <wp:extent cx="68897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688975" cy="7620"/>
                    </a:xfrm>
                    <a:prstGeom prst="rect">
                      <a:avLst/>
                    </a:prstGeom>
                    <a:noFill/>
                  </pic:spPr>
                </pic:pic>
              </a:graphicData>
            </a:graphic>
          </wp:anchor>
        </w:drawing>
      </w:r>
    </w:p>
    <w:p>
      <w:pPr>
        <w:spacing w:after="0" w:line="144" w:lineRule="exact"/>
        <w:rPr>
          <w:sz w:val="20"/>
          <w:szCs w:val="20"/>
          <w:color w:val="auto"/>
        </w:rPr>
      </w:pPr>
    </w:p>
    <w:p>
      <w:pPr>
        <w:ind w:left="1100" w:hanging="393"/>
        <w:spacing w:after="0"/>
        <w:tabs>
          <w:tab w:leader="none" w:pos="11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5" w:lineRule="exact"/>
        <w:rPr>
          <w:sz w:val="20"/>
          <w:szCs w:val="20"/>
          <w:color w:val="auto"/>
        </w:rPr>
      </w:pPr>
    </w:p>
    <w:p>
      <w:pPr>
        <w:ind w:left="1100" w:hanging="393"/>
        <w:spacing w:after="0"/>
        <w:tabs>
          <w:tab w:leader="none" w:pos="11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1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164</w:t>
      </w:r>
    </w:p>
    <w:p>
      <w:pPr>
        <w:sectPr>
          <w:pgSz w:w="11900" w:h="16838" w:orient="portrait"/>
          <w:cols w:equalWidth="0" w:num="1">
            <w:col w:w="10320"/>
          </w:cols>
          <w:pgMar w:left="320" w:top="438" w:right="12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4" w:lineRule="exact"/>
        <w:rPr>
          <w:sz w:val="20"/>
          <w:szCs w:val="20"/>
          <w:color w:val="auto"/>
        </w:rPr>
      </w:pPr>
    </w:p>
    <w:p>
      <w:pPr>
        <w:ind w:left="700" w:right="420" w:firstLine="393"/>
        <w:spacing w:after="0" w:line="284"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its annual report on Form 20-F and that it has duly caused and authorized the undersigned to sign this annual report on its behalf.</w:t>
      </w:r>
    </w:p>
    <w:p>
      <w:pPr>
        <w:spacing w:after="0" w:line="16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auto"/>
        </w:rPr>
        <w:t>Huize Holding limited</w:t>
      </w:r>
    </w:p>
    <w:p>
      <w:pPr>
        <w:spacing w:after="0" w:line="20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auto"/>
        </w:rPr>
        <w:t>By: /s/ Cunjun Ma</w:t>
      </w:r>
    </w:p>
    <w:p>
      <w:pPr>
        <w:spacing w:after="0" w:line="25"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6"/>
          <w:szCs w:val="16"/>
          <w:color w:val="auto"/>
        </w:rPr>
        <w:t>Name: Cunjun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-116205</wp:posOffset>
            </wp:positionV>
            <wp:extent cx="232600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2326005" cy="7620"/>
                    </a:xfrm>
                    <a:prstGeom prst="rect">
                      <a:avLst/>
                    </a:prstGeom>
                    <a:noFill/>
                  </pic:spPr>
                </pic:pic>
              </a:graphicData>
            </a:graphic>
          </wp:anchor>
        </w:drawing>
      </w:r>
    </w:p>
    <w:p>
      <w:pPr>
        <w:spacing w:after="0" w:line="1" w:lineRule="exact"/>
        <w:rPr>
          <w:sz w:val="20"/>
          <w:szCs w:val="20"/>
          <w:color w:val="auto"/>
        </w:rPr>
      </w:pPr>
    </w:p>
    <w:p>
      <w:pPr>
        <w:jc w:val="both"/>
        <w:ind w:left="6920"/>
        <w:spacing w:after="0"/>
        <w:tabs>
          <w:tab w:leader="none" w:pos="7420" w:val="left"/>
        </w:tabs>
        <w:rPr>
          <w:sz w:val="20"/>
          <w:szCs w:val="20"/>
          <w:color w:val="auto"/>
        </w:rPr>
      </w:pPr>
      <w:r>
        <w:rPr>
          <w:rFonts w:ascii="Times New Roman" w:cs="Times New Roman" w:eastAsia="Times New Roman" w:hAnsi="Times New Roman"/>
          <w:sz w:val="16"/>
          <w:szCs w:val="16"/>
          <w:color w:val="auto"/>
        </w:rPr>
        <w:t>Title:</w:t>
        <w:tab/>
        <w:t>Chairman of the Board of Directors and Chief</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6"/>
          <w:szCs w:val="16"/>
          <w:color w:val="auto"/>
        </w:rPr>
        <w:t>Executive Officer</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Date: April 19, 2023</w:t>
      </w:r>
    </w:p>
    <w:p>
      <w:pPr>
        <w:sectPr>
          <w:pgSz w:w="11900" w:h="16838" w:orient="portrait"/>
          <w:cols w:equalWidth="0" w:num="1">
            <w:col w:w="10400"/>
          </w:cols>
          <w:pgMar w:left="320" w:top="447" w:right="11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206"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50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EE"/>
              </w:rPr>
              <w:t>Report of Independent Registered Public Accounting Firm (PCAOB ID: 1424)</w:t>
            </w:r>
          </w:p>
        </w:tc>
        <w:tc>
          <w:tcPr>
            <w:tcW w:w="4360" w:type="dxa"/>
            <w:vAlign w:val="bottom"/>
            <w:gridSpan w:val="4"/>
            <w:vMerge w:val="restart"/>
          </w:tcPr>
          <w:p>
            <w:pPr>
              <w:spacing w:after="0"/>
              <w:rPr>
                <w:sz w:val="13"/>
                <w:szCs w:val="13"/>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Page</w:t>
            </w:r>
          </w:p>
        </w:tc>
        <w:tc>
          <w:tcPr>
            <w:tcW w:w="0" w:type="dxa"/>
            <w:vAlign w:val="bottom"/>
          </w:tcPr>
          <w:p>
            <w:pPr>
              <w:spacing w:after="0"/>
              <w:rPr>
                <w:sz w:val="1"/>
                <w:szCs w:val="1"/>
                <w:color w:val="auto"/>
              </w:rPr>
            </w:pPr>
          </w:p>
        </w:tc>
      </w:tr>
      <w:tr>
        <w:trPr>
          <w:trHeight w:val="142"/>
        </w:trPr>
        <w:tc>
          <w:tcPr>
            <w:tcW w:w="5080" w:type="dxa"/>
            <w:vAlign w:val="bottom"/>
            <w:tcBorders>
              <w:bottom w:val="single" w:sz="8" w:color="0000EE"/>
            </w:tcBorders>
            <w:gridSpan w:val="3"/>
            <w:vMerge w:val="continue"/>
          </w:tcPr>
          <w:p>
            <w:pPr>
              <w:spacing w:after="0"/>
              <w:rPr>
                <w:sz w:val="11"/>
                <w:szCs w:val="11"/>
                <w:color w:val="auto"/>
              </w:rPr>
            </w:pPr>
          </w:p>
        </w:tc>
        <w:tc>
          <w:tcPr>
            <w:tcW w:w="4360" w:type="dxa"/>
            <w:vAlign w:val="bottom"/>
            <w:gridSpan w:val="4"/>
            <w:vMerge w:val="continue"/>
          </w:tcPr>
          <w:p>
            <w:pPr>
              <w:spacing w:after="0"/>
              <w:rPr>
                <w:sz w:val="11"/>
                <w:szCs w:val="11"/>
                <w:color w:val="auto"/>
              </w:rPr>
            </w:pPr>
          </w:p>
        </w:tc>
        <w:tc>
          <w:tcPr>
            <w:tcW w:w="3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color w:val="auto"/>
              </w:rPr>
              <w:t>F-2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4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rPr>
              <w:t>Consolidated Balance Sheets as of December 31, 2021 and 2022</w:t>
            </w:r>
          </w:p>
        </w:tc>
        <w:tc>
          <w:tcPr>
            <w:tcW w:w="5280" w:type="dxa"/>
            <w:vAlign w:val="bottom"/>
            <w:gridSpan w:val="5"/>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F-3</w:t>
            </w:r>
          </w:p>
        </w:tc>
        <w:tc>
          <w:tcPr>
            <w:tcW w:w="0" w:type="dxa"/>
            <w:vAlign w:val="bottom"/>
          </w:tcPr>
          <w:p>
            <w:pPr>
              <w:spacing w:after="0"/>
              <w:rPr>
                <w:sz w:val="1"/>
                <w:szCs w:val="1"/>
                <w:color w:val="auto"/>
              </w:rPr>
            </w:pPr>
          </w:p>
        </w:tc>
      </w:tr>
      <w:tr>
        <w:trPr>
          <w:trHeight w:val="269"/>
        </w:trPr>
        <w:tc>
          <w:tcPr>
            <w:tcW w:w="944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Consolidated Statements of Comprehensive Income/(Loss) for the Years Ended December 31, 2020, 2021 and 2022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F-7</w:t>
            </w:r>
          </w:p>
        </w:tc>
        <w:tc>
          <w:tcPr>
            <w:tcW w:w="0" w:type="dxa"/>
            <w:vAlign w:val="bottom"/>
          </w:tcPr>
          <w:p>
            <w:pPr>
              <w:spacing w:after="0"/>
              <w:rPr>
                <w:sz w:val="1"/>
                <w:szCs w:val="1"/>
                <w:color w:val="auto"/>
              </w:rPr>
            </w:pPr>
          </w:p>
        </w:tc>
      </w:tr>
      <w:tr>
        <w:trPr>
          <w:trHeight w:val="20"/>
        </w:trPr>
        <w:tc>
          <w:tcPr>
            <w:tcW w:w="3060" w:type="dxa"/>
            <w:vAlign w:val="bottom"/>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944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Consolidated Statements of Changes in Shareholders’ (Deficit)/Equity for the Years Ended December 31, 2020, 2021 and 2022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F-9</w:t>
            </w:r>
          </w:p>
        </w:tc>
        <w:tc>
          <w:tcPr>
            <w:tcW w:w="0" w:type="dxa"/>
            <w:vAlign w:val="bottom"/>
          </w:tcPr>
          <w:p>
            <w:pPr>
              <w:spacing w:after="0"/>
              <w:rPr>
                <w:sz w:val="1"/>
                <w:szCs w:val="1"/>
                <w:color w:val="auto"/>
              </w:rPr>
            </w:pPr>
          </w:p>
        </w:tc>
      </w:tr>
      <w:tr>
        <w:trPr>
          <w:trHeight w:val="269"/>
        </w:trPr>
        <w:tc>
          <w:tcPr>
            <w:tcW w:w="62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9"/>
              </w:rPr>
              <w:t>Consolidated Statements of Cash Flows for the Years Ended December 31, 2020, 2021 and 2022</w:t>
            </w:r>
          </w:p>
        </w:tc>
        <w:tc>
          <w:tcPr>
            <w:tcW w:w="1960" w:type="dxa"/>
            <w:vAlign w:val="bottom"/>
            <w:tcBorders>
              <w:top w:val="single" w:sz="8" w:color="0000EE"/>
            </w:tcBorders>
            <w:gridSpan w:val="2"/>
          </w:tcPr>
          <w:p>
            <w:pPr>
              <w:spacing w:after="0"/>
              <w:rPr>
                <w:sz w:val="23"/>
                <w:szCs w:val="23"/>
                <w:color w:val="auto"/>
              </w:rPr>
            </w:pPr>
          </w:p>
        </w:tc>
        <w:tc>
          <w:tcPr>
            <w:tcW w:w="1260" w:type="dxa"/>
            <w:vAlign w:val="bottom"/>
          </w:tcPr>
          <w:p>
            <w:pPr>
              <w:spacing w:after="0"/>
              <w:rPr>
                <w:sz w:val="23"/>
                <w:szCs w:val="23"/>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F-12</w:t>
            </w:r>
          </w:p>
        </w:tc>
        <w:tc>
          <w:tcPr>
            <w:tcW w:w="0" w:type="dxa"/>
            <w:vAlign w:val="bottom"/>
          </w:tcPr>
          <w:p>
            <w:pPr>
              <w:spacing w:after="0"/>
              <w:rPr>
                <w:sz w:val="1"/>
                <w:szCs w:val="1"/>
                <w:color w:val="auto"/>
              </w:rPr>
            </w:pPr>
          </w:p>
        </w:tc>
      </w:tr>
      <w:tr>
        <w:trPr>
          <w:trHeight w:val="269"/>
        </w:trPr>
        <w:tc>
          <w:tcPr>
            <w:tcW w:w="30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rPr>
              <w:t>Notes to the Consolidated Financial Statements</w:t>
            </w:r>
          </w:p>
        </w:tc>
        <w:tc>
          <w:tcPr>
            <w:tcW w:w="6380" w:type="dxa"/>
            <w:vAlign w:val="bottom"/>
            <w:gridSpan w:val="6"/>
          </w:tcPr>
          <w:p>
            <w:pPr>
              <w:spacing w:after="0"/>
              <w:rPr>
                <w:sz w:val="23"/>
                <w:szCs w:val="23"/>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F-14</w:t>
            </w:r>
          </w:p>
        </w:tc>
        <w:tc>
          <w:tcPr>
            <w:tcW w:w="0" w:type="dxa"/>
            <w:vAlign w:val="bottom"/>
          </w:tcPr>
          <w:p>
            <w:pPr>
              <w:spacing w:after="0"/>
              <w:rPr>
                <w:sz w:val="1"/>
                <w:szCs w:val="1"/>
                <w:color w:val="auto"/>
              </w:rPr>
            </w:pPr>
          </w:p>
        </w:tc>
      </w:tr>
    </w:tbl>
    <w:p>
      <w:pPr>
        <w:sectPr>
          <w:pgSz w:w="11900" w:h="16838" w:orient="portrait"/>
          <w:cols w:equalWidth="0" w:num="1">
            <w:col w:w="10500"/>
          </w:cols>
          <w:pgMar w:left="320" w:top="447" w:right="10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To the Board of Directors and Shareholders of Huize Holding Limited</w:t>
      </w:r>
    </w:p>
    <w:p>
      <w:pPr>
        <w:spacing w:after="0" w:line="2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Opinion on the Financial Statements</w:t>
      </w:r>
    </w:p>
    <w:p>
      <w:pPr>
        <w:spacing w:after="0" w:line="109" w:lineRule="exact"/>
        <w:rPr>
          <w:sz w:val="20"/>
          <w:szCs w:val="20"/>
          <w:color w:val="auto"/>
        </w:rPr>
      </w:pPr>
    </w:p>
    <w:p>
      <w:pPr>
        <w:ind w:left="700" w:right="140"/>
        <w:spacing w:after="0" w:line="25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Huize Holding Limited and its subsidiaries (the “Company”) as of December 31, 2022 and 2021, and the related consolidated statements of comprehensive income/(loss), of changes in shareholders’ (deficit)/equity and of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109" w:lineRule="exact"/>
        <w:rPr>
          <w:sz w:val="20"/>
          <w:szCs w:val="20"/>
          <w:color w:val="auto"/>
        </w:rPr>
      </w:pPr>
    </w:p>
    <w:p>
      <w:pPr>
        <w:ind w:left="700" w:right="340"/>
        <w:spacing w:after="0" w:line="262"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left="700"/>
        <w:spacing w:after="0" w:line="259" w:lineRule="auto"/>
        <w:rPr>
          <w:sz w:val="20"/>
          <w:szCs w:val="20"/>
          <w:color w:val="auto"/>
        </w:rPr>
      </w:pPr>
      <w:r>
        <w:rPr>
          <w:rFonts w:ascii="Times New Roman" w:cs="Times New Roman" w:eastAsia="Times New Roman" w:hAnsi="Times New Roman"/>
          <w:sz w:val="16"/>
          <w:szCs w:val="16"/>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4" w:lineRule="exact"/>
        <w:rPr>
          <w:sz w:val="20"/>
          <w:szCs w:val="20"/>
          <w:color w:val="auto"/>
        </w:rPr>
      </w:pPr>
    </w:p>
    <w:p>
      <w:pPr>
        <w:jc w:val="both"/>
        <w:ind w:left="700" w:right="80"/>
        <w:spacing w:after="0" w:line="259"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 PricewaterhouseCoopers Zhong Tian LLP</w:t>
      </w:r>
    </w:p>
    <w:p>
      <w:pPr>
        <w:spacing w:after="0" w:line="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Shenzhen, the People’s Republic of China</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April 19, 2023</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We have served as the Company’s auditor since 2018.</w:t>
      </w:r>
    </w:p>
    <w:p>
      <w:pPr>
        <w:sectPr>
          <w:pgSz w:w="11900" w:h="16838" w:orient="portrait"/>
          <w:cols w:equalWidth="0" w:num="1">
            <w:col w:w="10520"/>
          </w:cols>
          <w:pgMar w:left="320" w:top="447" w:right="10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7"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6180" w:type="dxa"/>
            <w:vAlign w:val="bottom"/>
          </w:tcPr>
          <w:p>
            <w:pPr>
              <w:spacing w:after="0"/>
              <w:rPr>
                <w:sz w:val="12"/>
                <w:szCs w:val="12"/>
                <w:color w:val="auto"/>
              </w:rPr>
            </w:pPr>
          </w:p>
        </w:tc>
        <w:tc>
          <w:tcPr>
            <w:tcW w:w="8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156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0" w:type="dxa"/>
            <w:vAlign w:val="bottom"/>
          </w:tcPr>
          <w:p>
            <w:pPr>
              <w:spacing w:after="0"/>
              <w:rPr>
                <w:sz w:val="1"/>
                <w:szCs w:val="1"/>
                <w:color w:val="auto"/>
              </w:rPr>
            </w:pPr>
          </w:p>
        </w:tc>
      </w:tr>
      <w:tr>
        <w:trPr>
          <w:trHeight w:val="155"/>
        </w:trPr>
        <w:tc>
          <w:tcPr>
            <w:tcW w:w="6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40" w:type="dxa"/>
            <w:vAlign w:val="bottom"/>
          </w:tcPr>
          <w:p>
            <w:pPr>
              <w:spacing w:after="0"/>
              <w:rPr>
                <w:sz w:val="13"/>
                <w:szCs w:val="13"/>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6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USD$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6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RMB</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Note 2(f)</w:t>
            </w: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rPr>
              <w:t>2(g)</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381,158</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277,168</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40,186</w:t>
            </w:r>
          </w:p>
        </w:tc>
        <w:tc>
          <w:tcPr>
            <w:tcW w:w="0" w:type="dxa"/>
            <w:vAlign w:val="bottom"/>
          </w:tcPr>
          <w:p>
            <w:pPr>
              <w:spacing w:after="0"/>
              <w:rPr>
                <w:sz w:val="1"/>
                <w:szCs w:val="1"/>
                <w:color w:val="auto"/>
              </w:rPr>
            </w:pPr>
          </w:p>
        </w:tc>
      </w:tr>
      <w:tr>
        <w:trPr>
          <w:trHeight w:val="176"/>
        </w:trPr>
        <w:tc>
          <w:tcPr>
            <w:tcW w:w="6180" w:type="dxa"/>
            <w:vAlign w:val="bottom"/>
          </w:tcPr>
          <w:p>
            <w:pPr>
              <w:ind w:left="320"/>
              <w:spacing w:after="0" w:line="176" w:lineRule="exact"/>
              <w:rPr>
                <w:sz w:val="20"/>
                <w:szCs w:val="20"/>
                <w:color w:val="auto"/>
              </w:rPr>
            </w:pPr>
            <w:r>
              <w:rPr>
                <w:rFonts w:ascii="Times New Roman" w:cs="Times New Roman" w:eastAsia="Times New Roman" w:hAnsi="Times New Roman"/>
                <w:sz w:val="16"/>
                <w:szCs w:val="16"/>
                <w:color w:val="auto"/>
              </w:rPr>
              <w:t>Restricted cash (including amounts of the consolidated VIE of RMB127,315 and</w:t>
            </w: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RMB55,458 as of December 31, 2021 and 2022, respectively)</w:t>
            </w:r>
          </w:p>
        </w:tc>
        <w:tc>
          <w:tcPr>
            <w:tcW w:w="8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2(h)</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183,408</w:t>
            </w:r>
          </w:p>
        </w:tc>
        <w:tc>
          <w:tcPr>
            <w:tcW w:w="2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98,917</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14,342</w:t>
            </w: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assets, net of allowance for doubtful accounts</w:t>
            </w:r>
          </w:p>
        </w:tc>
        <w:tc>
          <w:tcPr>
            <w:tcW w:w="80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rPr>
              <w:t>2(y)</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49,888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w:t>
            </w:r>
          </w:p>
        </w:tc>
        <w:tc>
          <w:tcPr>
            <w:tcW w:w="8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2(i), 4</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777,262</w:t>
            </w:r>
          </w:p>
        </w:tc>
        <w:tc>
          <w:tcPr>
            <w:tcW w:w="24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250,667</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36,342</w:t>
            </w:r>
          </w:p>
        </w:tc>
        <w:tc>
          <w:tcPr>
            <w:tcW w:w="0" w:type="dxa"/>
            <w:vAlign w:val="bottom"/>
          </w:tcPr>
          <w:p>
            <w:pPr>
              <w:spacing w:after="0"/>
              <w:rPr>
                <w:sz w:val="1"/>
                <w:szCs w:val="1"/>
                <w:color w:val="auto"/>
              </w:rPr>
            </w:pPr>
          </w:p>
        </w:tc>
      </w:tr>
      <w:tr>
        <w:trPr>
          <w:trHeight w:val="176"/>
        </w:trPr>
        <w:tc>
          <w:tcPr>
            <w:tcW w:w="61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6"/>
                <w:szCs w:val="16"/>
                <w:color w:val="auto"/>
              </w:rPr>
              <w:t>Insurance premium receivables (including amounts of the consolidated VIE of</w:t>
            </w:r>
          </w:p>
        </w:tc>
        <w:tc>
          <w:tcPr>
            <w:tcW w:w="8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RMB1,217 and RMB1,792 as of December 31, 2021 and 2022, respectively)</w:t>
            </w:r>
          </w:p>
        </w:tc>
        <w:tc>
          <w:tcPr>
            <w:tcW w:w="80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rPr>
              <w:t>2(j)</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1,792</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193"/>
        </w:trPr>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8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9"/>
              </w:rPr>
              <w:t>5</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128</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489</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 and other receivables</w:t>
            </w:r>
          </w:p>
        </w:tc>
        <w:tc>
          <w:tcPr>
            <w:tcW w:w="80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w w:val="99"/>
              </w:rPr>
              <w:t>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77,511</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71,818</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10,413</w:t>
            </w:r>
          </w:p>
        </w:tc>
        <w:tc>
          <w:tcPr>
            <w:tcW w:w="0" w:type="dxa"/>
            <w:vAlign w:val="bottom"/>
          </w:tcPr>
          <w:p>
            <w:pPr>
              <w:spacing w:after="0"/>
              <w:rPr>
                <w:sz w:val="1"/>
                <w:szCs w:val="1"/>
                <w:color w:val="auto"/>
              </w:rPr>
            </w:pPr>
          </w:p>
        </w:tc>
      </w:tr>
      <w:tr>
        <w:trPr>
          <w:trHeight w:val="201"/>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8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1,420,684</w:t>
            </w:r>
          </w:p>
        </w:tc>
        <w:tc>
          <w:tcPr>
            <w:tcW w:w="2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750,739</w:t>
            </w:r>
          </w:p>
        </w:tc>
        <w:tc>
          <w:tcPr>
            <w:tcW w:w="2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8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180" w:type="dxa"/>
            <w:vAlign w:val="bottom"/>
          </w:tcPr>
          <w:p>
            <w:pPr>
              <w:ind w:left="320"/>
              <w:spacing w:after="0" w:line="176" w:lineRule="exact"/>
              <w:rPr>
                <w:sz w:val="20"/>
                <w:szCs w:val="20"/>
                <w:color w:val="auto"/>
              </w:rPr>
            </w:pPr>
            <w:r>
              <w:rPr>
                <w:rFonts w:ascii="Times New Roman" w:cs="Times New Roman" w:eastAsia="Times New Roman" w:hAnsi="Times New Roman"/>
                <w:sz w:val="16"/>
                <w:szCs w:val="16"/>
                <w:color w:val="auto"/>
              </w:rPr>
              <w:t>Restricted cash (including amounts of the consolidated VIE of RMB24,680 and RMB nil</w:t>
            </w: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as of December 31, 2021 and 2022, respectively)</w:t>
            </w:r>
          </w:p>
        </w:tc>
        <w:tc>
          <w:tcPr>
            <w:tcW w:w="8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2(h)</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44,418</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assets, net of allowance for doubtful accounts</w:t>
            </w:r>
          </w:p>
        </w:tc>
        <w:tc>
          <w:tcPr>
            <w:tcW w:w="8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6,634</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962</w:t>
            </w:r>
          </w:p>
        </w:tc>
        <w:tc>
          <w:tcPr>
            <w:tcW w:w="0" w:type="dxa"/>
            <w:vAlign w:val="bottom"/>
          </w:tcPr>
          <w:p>
            <w:pPr>
              <w:spacing w:after="0"/>
              <w:rPr>
                <w:sz w:val="1"/>
                <w:szCs w:val="1"/>
                <w:color w:val="auto"/>
              </w:rPr>
            </w:pPr>
          </w:p>
        </w:tc>
      </w:tr>
      <w:tr>
        <w:trPr>
          <w:trHeight w:val="193"/>
        </w:trPr>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8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9"/>
              </w:rPr>
              <w:t>7</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48,461</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38,518</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Intangible assets, net</w:t>
            </w:r>
          </w:p>
        </w:tc>
        <w:tc>
          <w:tcPr>
            <w:tcW w:w="80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w w:val="99"/>
              </w:rPr>
              <w:t>8</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21,626</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53,498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tax assets</w:t>
            </w:r>
          </w:p>
        </w:tc>
        <w:tc>
          <w:tcPr>
            <w:tcW w:w="8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9"/>
              </w:rPr>
              <w:t>13</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605</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Long-term investments</w:t>
            </w:r>
          </w:p>
        </w:tc>
        <w:tc>
          <w:tcPr>
            <w:tcW w:w="80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rPr>
              <w:t>2(q), 9</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73,001</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77,305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8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2(t), 23</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247,819</w:t>
            </w:r>
          </w:p>
        </w:tc>
        <w:tc>
          <w:tcPr>
            <w:tcW w:w="24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162,180</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23,514</w:t>
            </w: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w:t>
            </w:r>
          </w:p>
        </w:tc>
        <w:tc>
          <w:tcPr>
            <w:tcW w:w="80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rPr>
              <w:t>2(o)</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461</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461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assets</w:t>
            </w:r>
          </w:p>
        </w:tc>
        <w:tc>
          <w:tcPr>
            <w:tcW w:w="8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9"/>
              </w:rPr>
              <w:t>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24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4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8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436,770</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338,875</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49,132</w:t>
            </w:r>
          </w:p>
        </w:tc>
        <w:tc>
          <w:tcPr>
            <w:tcW w:w="0" w:type="dxa"/>
            <w:vAlign w:val="bottom"/>
          </w:tcPr>
          <w:p>
            <w:pPr>
              <w:spacing w:after="0"/>
              <w:rPr>
                <w:sz w:val="1"/>
                <w:szCs w:val="1"/>
                <w:color w:val="auto"/>
              </w:rPr>
            </w:pPr>
          </w:p>
        </w:tc>
      </w:tr>
      <w:tr>
        <w:trPr>
          <w:trHeight w:val="197"/>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1,857,454</w:t>
            </w:r>
          </w:p>
        </w:tc>
        <w:tc>
          <w:tcPr>
            <w:tcW w:w="2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1,089,614</w:t>
            </w:r>
          </w:p>
        </w:tc>
        <w:tc>
          <w:tcPr>
            <w:tcW w:w="2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ind w:left="4820"/>
              <w:spacing w:after="0"/>
              <w:rPr>
                <w:sz w:val="20"/>
                <w:szCs w:val="20"/>
                <w:color w:val="auto"/>
              </w:rPr>
            </w:pPr>
            <w:r>
              <w:rPr>
                <w:rFonts w:ascii="Times New Roman" w:cs="Times New Roman" w:eastAsia="Times New Roman" w:hAnsi="Times New Roman"/>
                <w:sz w:val="16"/>
                <w:szCs w:val="16"/>
                <w:color w:val="auto"/>
              </w:rPr>
              <w:t>F-3</w:t>
            </w:r>
          </w:p>
        </w:tc>
        <w:tc>
          <w:tcPr>
            <w:tcW w:w="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1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320" w:top="447" w:right="10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CONSOLIDATED BALANCE SHEETS (Continued)</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03"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6420" w:type="dxa"/>
            <w:vAlign w:val="bottom"/>
          </w:tcPr>
          <w:p>
            <w:pPr>
              <w:spacing w:after="0"/>
              <w:rPr>
                <w:sz w:val="12"/>
                <w:szCs w:val="12"/>
                <w:color w:val="auto"/>
              </w:rPr>
            </w:pP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136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55"/>
        </w:trPr>
        <w:tc>
          <w:tcPr>
            <w:tcW w:w="64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160" w:type="dxa"/>
            <w:vAlign w:val="bottom"/>
            <w:gridSpan w:val="2"/>
          </w:tcPr>
          <w:p>
            <w:pPr>
              <w:jc w:val="center"/>
              <w:ind w:left="23"/>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4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6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USD$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6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RMB</w:t>
            </w: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Note 2(f)</w:t>
            </w: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6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320"/>
              <w:spacing w:after="0" w:line="177" w:lineRule="exact"/>
              <w:rPr>
                <w:sz w:val="20"/>
                <w:szCs w:val="20"/>
                <w:color w:val="auto"/>
              </w:rPr>
            </w:pPr>
            <w:r>
              <w:rPr>
                <w:rFonts w:ascii="Times New Roman" w:cs="Times New Roman" w:eastAsia="Times New Roman" w:hAnsi="Times New Roman"/>
                <w:sz w:val="16"/>
                <w:szCs w:val="16"/>
                <w:color w:val="auto"/>
              </w:rPr>
              <w:t>Short-term borrowings (including amounts of the consolidated VIE and its subsidiaries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without recourse to the Company of RMB216,710 and RMB150,000 as of December 31,</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2021 and 2022, respectively)</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2(r),10</w:t>
            </w:r>
          </w:p>
        </w:tc>
        <w:tc>
          <w:tcPr>
            <w:tcW w:w="1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216,710</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150,000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21,748</w:t>
            </w:r>
          </w:p>
        </w:tc>
        <w:tc>
          <w:tcPr>
            <w:tcW w:w="0" w:type="dxa"/>
            <w:vAlign w:val="bottom"/>
          </w:tcPr>
          <w:p>
            <w:pPr>
              <w:spacing w:after="0"/>
              <w:rPr>
                <w:sz w:val="1"/>
                <w:szCs w:val="1"/>
                <w:color w:val="auto"/>
              </w:rPr>
            </w:pPr>
          </w:p>
        </w:tc>
      </w:tr>
      <w:tr>
        <w:trPr>
          <w:trHeight w:val="176"/>
        </w:trPr>
        <w:tc>
          <w:tcPr>
            <w:tcW w:w="6420" w:type="dxa"/>
            <w:vAlign w:val="bottom"/>
          </w:tcPr>
          <w:p>
            <w:pPr>
              <w:ind w:left="320"/>
              <w:spacing w:after="0" w:line="176" w:lineRule="exact"/>
              <w:rPr>
                <w:sz w:val="20"/>
                <w:szCs w:val="20"/>
                <w:color w:val="auto"/>
              </w:rPr>
            </w:pPr>
            <w:r>
              <w:rPr>
                <w:rFonts w:ascii="Times New Roman" w:cs="Times New Roman" w:eastAsia="Times New Roman" w:hAnsi="Times New Roman"/>
                <w:sz w:val="16"/>
                <w:szCs w:val="16"/>
                <w:color w:val="auto"/>
              </w:rPr>
              <w:t>Accounts payable (including amounts of the consolidated VIE and its subsidiaries without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recourse to the Company of RMB680,183 and RMB261,993 as of December 31, 2021 and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2022, respectively)</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2(z)</w:t>
            </w: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680,369</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262,266</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38,025</w:t>
            </w: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320"/>
              <w:spacing w:after="0" w:line="177" w:lineRule="exact"/>
              <w:rPr>
                <w:sz w:val="20"/>
                <w:szCs w:val="20"/>
                <w:color w:val="auto"/>
              </w:rPr>
            </w:pPr>
            <w:r>
              <w:rPr>
                <w:rFonts w:ascii="Times New Roman" w:cs="Times New Roman" w:eastAsia="Times New Roman" w:hAnsi="Times New Roman"/>
                <w:sz w:val="16"/>
                <w:szCs w:val="16"/>
                <w:color w:val="auto"/>
              </w:rPr>
              <w:t>Insurance premium payables (including amounts of the consolidated VIE and its subsidiaries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without recourse to the Company of RMB124,019 and RMB27,567 as of December 31,</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2021 and 2022, respectively)</w:t>
            </w:r>
          </w:p>
        </w:tc>
        <w:tc>
          <w:tcPr>
            <w:tcW w:w="6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124,019</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27,567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320"/>
              <w:spacing w:after="0" w:line="176" w:lineRule="exact"/>
              <w:rPr>
                <w:sz w:val="20"/>
                <w:szCs w:val="20"/>
                <w:color w:val="auto"/>
              </w:rPr>
            </w:pPr>
            <w:r>
              <w:rPr>
                <w:rFonts w:ascii="Times New Roman" w:cs="Times New Roman" w:eastAsia="Times New Roman" w:hAnsi="Times New Roman"/>
                <w:sz w:val="16"/>
                <w:szCs w:val="16"/>
                <w:color w:val="auto"/>
              </w:rPr>
              <w:t>Contract liabilities (including amounts of the consolidated VIE and its subsidiaries without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recourse to the Company of RMB2,681 and RMB702 as of December 31, 2021 and 2022,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respectively)</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2(y)</w:t>
            </w: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7,236</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4,034</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320"/>
              <w:spacing w:after="0" w:line="177" w:lineRule="exact"/>
              <w:rPr>
                <w:sz w:val="20"/>
                <w:szCs w:val="20"/>
                <w:color w:val="auto"/>
              </w:rPr>
            </w:pPr>
            <w:r>
              <w:rPr>
                <w:rFonts w:ascii="Times New Roman" w:cs="Times New Roman" w:eastAsia="Times New Roman" w:hAnsi="Times New Roman"/>
                <w:sz w:val="16"/>
                <w:szCs w:val="16"/>
                <w:color w:val="auto"/>
              </w:rPr>
              <w:t>Other payables and accrued expenses (including amounts of the consolidated VIE and its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subsidiaries without recourse to the Company of RMB207,461 and RMB195,136 as of</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December 31, 2021 and 2022, respectively)</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71,255</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58,251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320"/>
              <w:spacing w:after="0" w:line="176" w:lineRule="exact"/>
              <w:rPr>
                <w:sz w:val="20"/>
                <w:szCs w:val="20"/>
                <w:color w:val="auto"/>
              </w:rPr>
            </w:pPr>
            <w:r>
              <w:rPr>
                <w:rFonts w:ascii="Times New Roman" w:cs="Times New Roman" w:eastAsia="Times New Roman" w:hAnsi="Times New Roman"/>
                <w:sz w:val="16"/>
                <w:szCs w:val="16"/>
                <w:color w:val="auto"/>
              </w:rPr>
              <w:t>Payroll and welfare payable (including amounts of the consolidated VIE and its subsidiaries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without recourse to the Company of RMB92,094 and RMB39,674 as of December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2021 and 2022, respectively)</w:t>
            </w:r>
          </w:p>
        </w:tc>
        <w:tc>
          <w:tcPr>
            <w:tcW w:w="66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93,451</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43,938</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320"/>
              <w:spacing w:after="0" w:line="177" w:lineRule="exact"/>
              <w:rPr>
                <w:sz w:val="20"/>
                <w:szCs w:val="20"/>
                <w:color w:val="auto"/>
              </w:rPr>
            </w:pPr>
            <w:r>
              <w:rPr>
                <w:rFonts w:ascii="Times New Roman" w:cs="Times New Roman" w:eastAsia="Times New Roman" w:hAnsi="Times New Roman"/>
                <w:sz w:val="16"/>
                <w:szCs w:val="16"/>
                <w:color w:val="auto"/>
              </w:rPr>
              <w:t>Income taxes payable (including amounts of the consolidated VIE and its subsidiaries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without recourse to the Company of RMB2,440 and RMB2,440 as of December 31, 2021</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and 2022, respectively)</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2,440</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176"/>
        </w:trPr>
        <w:tc>
          <w:tcPr>
            <w:tcW w:w="6420" w:type="dxa"/>
            <w:vAlign w:val="bottom"/>
          </w:tcPr>
          <w:p>
            <w:pPr>
              <w:ind w:left="320"/>
              <w:spacing w:after="0" w:line="176" w:lineRule="exact"/>
              <w:rPr>
                <w:sz w:val="20"/>
                <w:szCs w:val="20"/>
                <w:color w:val="auto"/>
              </w:rPr>
            </w:pPr>
            <w:r>
              <w:rPr>
                <w:rFonts w:ascii="Times New Roman" w:cs="Times New Roman" w:eastAsia="Times New Roman" w:hAnsi="Times New Roman"/>
                <w:sz w:val="16"/>
                <w:szCs w:val="16"/>
                <w:color w:val="auto"/>
              </w:rPr>
              <w:t>Operating lease liabilities (including amounts of the consolidated VIE and its subsidiaries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without recourse to the Company of RMB12,362 and RMB10,075 as of December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2021 and 2022, respectively)</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2(t),23</w:t>
            </w: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14,886</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10,075</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320"/>
              <w:spacing w:after="0" w:line="177" w:lineRule="exact"/>
              <w:rPr>
                <w:sz w:val="20"/>
                <w:szCs w:val="20"/>
                <w:color w:val="auto"/>
              </w:rPr>
            </w:pPr>
            <w:r>
              <w:rPr>
                <w:rFonts w:ascii="Times New Roman" w:cs="Times New Roman" w:eastAsia="Times New Roman" w:hAnsi="Times New Roman"/>
                <w:sz w:val="16"/>
                <w:szCs w:val="16"/>
                <w:color w:val="auto"/>
              </w:rPr>
              <w:t>Amounts due to related parties (including amounts of the consolidated VIE and its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subsidiaries without recourse to the Company of RMB11,875 and RMB495 as of</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December 31, 2021 and 2022, respectively)</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11,875</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495</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1,222,241</w:t>
            </w:r>
          </w:p>
        </w:tc>
        <w:tc>
          <w:tcPr>
            <w:tcW w:w="2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559,066</w:t>
            </w:r>
          </w:p>
        </w:tc>
        <w:tc>
          <w:tcPr>
            <w:tcW w:w="24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6420" w:type="dxa"/>
            <w:vAlign w:val="bottom"/>
          </w:tcPr>
          <w:p>
            <w:pPr>
              <w:ind w:left="4820"/>
              <w:spacing w:after="0"/>
              <w:rPr>
                <w:sz w:val="20"/>
                <w:szCs w:val="20"/>
                <w:color w:val="auto"/>
              </w:rPr>
            </w:pPr>
            <w:r>
              <w:rPr>
                <w:rFonts w:ascii="Times New Roman" w:cs="Times New Roman" w:eastAsia="Times New Roman" w:hAnsi="Times New Roman"/>
                <w:sz w:val="16"/>
                <w:szCs w:val="16"/>
                <w:color w:val="auto"/>
              </w:rPr>
              <w:t>F-4</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320" w:top="447" w:right="10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CONSOLIDATED BALANCE SHEETS (Continued)</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03"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6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1440" w:type="dxa"/>
            <w:vAlign w:val="bottom"/>
            <w:gridSpan w:val="5"/>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0" w:type="dxa"/>
            <w:vAlign w:val="bottom"/>
          </w:tcPr>
          <w:p>
            <w:pPr>
              <w:spacing w:after="0"/>
              <w:rPr>
                <w:sz w:val="1"/>
                <w:szCs w:val="1"/>
                <w:color w:val="auto"/>
              </w:rPr>
            </w:pPr>
          </w:p>
        </w:tc>
      </w:tr>
      <w:tr>
        <w:trPr>
          <w:trHeight w:val="181"/>
        </w:trPr>
        <w:tc>
          <w:tcPr>
            <w:tcW w:w="6220" w:type="dxa"/>
            <w:vAlign w:val="bottom"/>
          </w:tcPr>
          <w:p>
            <w:pPr>
              <w:spacing w:after="0"/>
              <w:rPr>
                <w:sz w:val="15"/>
                <w:szCs w:val="15"/>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180" w:type="dxa"/>
            <w:vAlign w:val="bottom"/>
            <w:gridSpan w:val="2"/>
          </w:tcPr>
          <w:p>
            <w:pPr>
              <w:jc w:val="center"/>
              <w:ind w:left="44"/>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40" w:type="dxa"/>
            <w:vAlign w:val="bottom"/>
          </w:tcPr>
          <w:p>
            <w:pPr>
              <w:spacing w:after="0"/>
              <w:rPr>
                <w:sz w:val="15"/>
                <w:szCs w:val="15"/>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USD$</w:t>
            </w:r>
          </w:p>
        </w:tc>
        <w:tc>
          <w:tcPr>
            <w:tcW w:w="0" w:type="dxa"/>
            <w:vAlign w:val="bottom"/>
          </w:tcPr>
          <w:p>
            <w:pPr>
              <w:spacing w:after="0"/>
              <w:rPr>
                <w:sz w:val="1"/>
                <w:szCs w:val="1"/>
                <w:color w:val="auto"/>
              </w:rPr>
            </w:pPr>
          </w:p>
        </w:tc>
      </w:tr>
      <w:tr>
        <w:trPr>
          <w:trHeight w:val="97"/>
        </w:trPr>
        <w:tc>
          <w:tcPr>
            <w:tcW w:w="6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6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RMB</w:t>
            </w: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Note 2(f)</w:t>
            </w:r>
          </w:p>
        </w:tc>
        <w:tc>
          <w:tcPr>
            <w:tcW w:w="0" w:type="dxa"/>
            <w:vAlign w:val="bottom"/>
          </w:tcPr>
          <w:p>
            <w:pPr>
              <w:spacing w:after="0"/>
              <w:rPr>
                <w:sz w:val="1"/>
                <w:szCs w:val="1"/>
                <w:color w:val="auto"/>
              </w:rPr>
            </w:pPr>
          </w:p>
        </w:tc>
      </w:tr>
      <w:tr>
        <w:trPr>
          <w:trHeight w:val="193"/>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320"/>
              <w:spacing w:after="0" w:line="176" w:lineRule="exact"/>
              <w:rPr>
                <w:sz w:val="20"/>
                <w:szCs w:val="20"/>
                <w:color w:val="auto"/>
              </w:rPr>
            </w:pPr>
            <w:r>
              <w:rPr>
                <w:rFonts w:ascii="Times New Roman" w:cs="Times New Roman" w:eastAsia="Times New Roman" w:hAnsi="Times New Roman"/>
                <w:sz w:val="16"/>
                <w:szCs w:val="16"/>
                <w:color w:val="auto"/>
              </w:rPr>
              <w:t>Long-term borrowings (including amounts of the consolidated VIE and its subsidiaries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without recourse to the Company of RMB20,000 and RMB nil as of December 31,</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2021 and 2022, respectively)</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2(r), 14</w:t>
            </w:r>
          </w:p>
        </w:tc>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20,000</w:t>
            </w:r>
          </w:p>
        </w:tc>
        <w:tc>
          <w:tcPr>
            <w:tcW w:w="84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6220" w:type="dxa"/>
            <w:vAlign w:val="bottom"/>
            <w:shd w:val="clear" w:color="auto" w:fill="CCEEFF"/>
          </w:tcPr>
          <w:p>
            <w:pPr>
              <w:ind w:left="320"/>
              <w:spacing w:after="0" w:line="177" w:lineRule="exact"/>
              <w:rPr>
                <w:sz w:val="20"/>
                <w:szCs w:val="20"/>
                <w:color w:val="auto"/>
              </w:rPr>
            </w:pPr>
            <w:r>
              <w:rPr>
                <w:rFonts w:ascii="Times New Roman" w:cs="Times New Roman" w:eastAsia="Times New Roman" w:hAnsi="Times New Roman"/>
                <w:sz w:val="16"/>
                <w:szCs w:val="16"/>
                <w:color w:val="auto"/>
              </w:rPr>
              <w:t>Deferred tax liabilities (including amounts of the consolidated VIE and its subsidiaries</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without recourse to the Company of RMB4,455 and RMB12,054 as of December 31,</w:t>
            </w: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2021 and 2022, respectively)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4,892</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12,491</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1,811</w:t>
            </w:r>
          </w:p>
        </w:tc>
        <w:tc>
          <w:tcPr>
            <w:tcW w:w="0" w:type="dxa"/>
            <w:vAlign w:val="bottom"/>
          </w:tcPr>
          <w:p>
            <w:pPr>
              <w:spacing w:after="0"/>
              <w:rPr>
                <w:sz w:val="1"/>
                <w:szCs w:val="1"/>
                <w:color w:val="auto"/>
              </w:rPr>
            </w:pPr>
          </w:p>
        </w:tc>
      </w:tr>
      <w:tr>
        <w:trPr>
          <w:trHeight w:val="176"/>
        </w:trPr>
        <w:tc>
          <w:tcPr>
            <w:tcW w:w="6220" w:type="dxa"/>
            <w:vAlign w:val="bottom"/>
          </w:tcPr>
          <w:p>
            <w:pPr>
              <w:ind w:left="320"/>
              <w:spacing w:after="0" w:line="176" w:lineRule="exact"/>
              <w:rPr>
                <w:sz w:val="20"/>
                <w:szCs w:val="20"/>
                <w:color w:val="auto"/>
              </w:rPr>
            </w:pPr>
            <w:r>
              <w:rPr>
                <w:rFonts w:ascii="Times New Roman" w:cs="Times New Roman" w:eastAsia="Times New Roman" w:hAnsi="Times New Roman"/>
                <w:sz w:val="16"/>
                <w:szCs w:val="16"/>
                <w:color w:val="auto"/>
              </w:rPr>
              <w:t>Operating lease liabilities (including amounts of the consolidated VIE and its subsidiaries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without recourse to the Company of RMB245,396 and RMB176,032 as of</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December 31, 2021 and 2022, respectively)</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2(t), 23</w:t>
            </w:r>
          </w:p>
        </w:tc>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249,183</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176,032</w:t>
            </w:r>
          </w:p>
        </w:tc>
        <w:tc>
          <w:tcPr>
            <w:tcW w:w="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25,522</w:t>
            </w:r>
          </w:p>
        </w:tc>
        <w:tc>
          <w:tcPr>
            <w:tcW w:w="0" w:type="dxa"/>
            <w:vAlign w:val="bottom"/>
          </w:tcPr>
          <w:p>
            <w:pPr>
              <w:spacing w:after="0"/>
              <w:rPr>
                <w:sz w:val="1"/>
                <w:szCs w:val="1"/>
                <w:color w:val="auto"/>
              </w:rPr>
            </w:pPr>
          </w:p>
        </w:tc>
      </w:tr>
      <w:tr>
        <w:trPr>
          <w:trHeight w:val="176"/>
        </w:trPr>
        <w:tc>
          <w:tcPr>
            <w:tcW w:w="6220" w:type="dxa"/>
            <w:vAlign w:val="bottom"/>
            <w:shd w:val="clear" w:color="auto" w:fill="CCEEFF"/>
          </w:tcPr>
          <w:p>
            <w:pPr>
              <w:ind w:left="320"/>
              <w:spacing w:after="0" w:line="177" w:lineRule="exact"/>
              <w:rPr>
                <w:sz w:val="20"/>
                <w:szCs w:val="20"/>
                <w:color w:val="auto"/>
              </w:rPr>
            </w:pPr>
            <w:r>
              <w:rPr>
                <w:rFonts w:ascii="Times New Roman" w:cs="Times New Roman" w:eastAsia="Times New Roman" w:hAnsi="Times New Roman"/>
                <w:sz w:val="16"/>
                <w:szCs w:val="16"/>
                <w:color w:val="auto"/>
              </w:rPr>
              <w:t>Payroll and welfare payable (including amounts of the consolidated VIE and its</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subsidiaries without recourse to the Company of RMB nil and RMB nil of</w:t>
            </w: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December 31, 2021 and 2022, respectively)</w:t>
            </w:r>
          </w:p>
        </w:tc>
        <w:tc>
          <w:tcPr>
            <w:tcW w:w="7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225</w:t>
            </w:r>
          </w:p>
        </w:tc>
        <w:tc>
          <w:tcPr>
            <w:tcW w:w="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6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274,300</w:t>
            </w:r>
          </w:p>
        </w:tc>
        <w:tc>
          <w:tcPr>
            <w:tcW w:w="2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188,523</w:t>
            </w:r>
          </w:p>
        </w:tc>
        <w:tc>
          <w:tcPr>
            <w:tcW w:w="24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76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1,496,541</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747,589</w:t>
            </w: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108,391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4820"/>
              <w:spacing w:after="0"/>
              <w:rPr>
                <w:sz w:val="20"/>
                <w:szCs w:val="20"/>
                <w:color w:val="auto"/>
              </w:rPr>
            </w:pPr>
            <w:r>
              <w:rPr>
                <w:rFonts w:ascii="Times New Roman" w:cs="Times New Roman" w:eastAsia="Times New Roman" w:hAnsi="Times New Roman"/>
                <w:sz w:val="16"/>
                <w:szCs w:val="16"/>
                <w:color w:val="auto"/>
              </w:rPr>
              <w:t>F-5</w:t>
            </w: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2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320" w:top="447" w:right="10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CONSOLIDATED BALANCE SHEETS (Continued)</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03"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654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Note</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156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55"/>
        </w:trPr>
        <w:tc>
          <w:tcPr>
            <w:tcW w:w="65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00" w:type="dxa"/>
            <w:vAlign w:val="bottom"/>
          </w:tcPr>
          <w:p>
            <w:pPr>
              <w:spacing w:after="0"/>
              <w:rPr>
                <w:sz w:val="13"/>
                <w:szCs w:val="13"/>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6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jc w:val="right"/>
              <w:ind w:right="43"/>
              <w:spacing w:after="0" w:line="103" w:lineRule="exact"/>
              <w:rPr>
                <w:sz w:val="20"/>
                <w:szCs w:val="20"/>
                <w:color w:val="auto"/>
              </w:rPr>
            </w:pPr>
            <w:r>
              <w:rPr>
                <w:rFonts w:ascii="Times New Roman" w:cs="Times New Roman" w:eastAsia="Times New Roman" w:hAnsi="Times New Roman"/>
                <w:sz w:val="11"/>
                <w:szCs w:val="11"/>
                <w:b w:val="1"/>
                <w:bCs w:val="1"/>
                <w:color w:val="auto"/>
              </w:rPr>
              <w:t>USD$</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6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RMB</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Note 2(f)</w:t>
            </w:r>
          </w:p>
        </w:tc>
        <w:tc>
          <w:tcPr>
            <w:tcW w:w="0" w:type="dxa"/>
            <w:vAlign w:val="bottom"/>
          </w:tcPr>
          <w:p>
            <w:pPr>
              <w:spacing w:after="0"/>
              <w:rPr>
                <w:sz w:val="1"/>
                <w:szCs w:val="1"/>
                <w:color w:val="auto"/>
              </w:rPr>
            </w:pPr>
          </w:p>
        </w:tc>
      </w:tr>
      <w:tr>
        <w:trPr>
          <w:trHeight w:val="19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 (Continued)</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Common shares</w:t>
            </w:r>
          </w:p>
        </w:tc>
        <w:tc>
          <w:tcPr>
            <w:tcW w:w="48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6"/>
                <w:szCs w:val="16"/>
                <w:color w:val="auto"/>
              </w:rPr>
              <w:t>Class A common shares (US$0.00001 par value; 7,000,000,000 shares authorized as of</w:t>
            </w: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December 31, 2021 and 2022, respectively; 894,456,046 shares issued as of December 31,</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2021 and 2022, respectively; 886,166,726 shares and 873,068,986 shares outstanding as of</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December 31, 2021 and 2022, respectively)</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62</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76"/>
        </w:trPr>
        <w:tc>
          <w:tcPr>
            <w:tcW w:w="6540" w:type="dxa"/>
            <w:vAlign w:val="bottom"/>
          </w:tcPr>
          <w:p>
            <w:pPr>
              <w:ind w:left="320"/>
              <w:spacing w:after="0" w:line="176" w:lineRule="exact"/>
              <w:rPr>
                <w:sz w:val="20"/>
                <w:szCs w:val="20"/>
                <w:color w:val="auto"/>
              </w:rPr>
            </w:pPr>
            <w:r>
              <w:rPr>
                <w:rFonts w:ascii="Times New Roman" w:cs="Times New Roman" w:eastAsia="Times New Roman" w:hAnsi="Times New Roman"/>
                <w:sz w:val="16"/>
                <w:szCs w:val="16"/>
                <w:color w:val="auto"/>
              </w:rPr>
              <w:t>Class B common shares (US$0.00001 par value; 800,000,000 shares authorized as of</w:t>
            </w: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December 31, 2021 and 2022, respectively; 150,591,207 shares issued and outstanding as of</w:t>
            </w: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December 31, 2021 and 2022, respectively)</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ind w:left="320"/>
              <w:spacing w:after="0" w:line="177" w:lineRule="exact"/>
              <w:rPr>
                <w:sz w:val="20"/>
                <w:szCs w:val="20"/>
                <w:color w:val="auto"/>
              </w:rPr>
            </w:pPr>
            <w:r>
              <w:rPr>
                <w:rFonts w:ascii="Times New Roman" w:cs="Times New Roman" w:eastAsia="Times New Roman" w:hAnsi="Times New Roman"/>
                <w:sz w:val="16"/>
                <w:szCs w:val="16"/>
                <w:color w:val="auto"/>
              </w:rPr>
              <w:t>Treasury stock (3,436,860 shares and 16,534,600 shares as of December 31, 2021 and 2022,</w:t>
            </w: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respectively)</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(9,545)</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(15,306)</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(2,219)</w:t>
            </w:r>
          </w:p>
        </w:tc>
        <w:tc>
          <w:tcPr>
            <w:tcW w:w="0" w:type="dxa"/>
            <w:vAlign w:val="bottom"/>
          </w:tcPr>
          <w:p>
            <w:pPr>
              <w:spacing w:after="0"/>
              <w:rPr>
                <w:sz w:val="1"/>
                <w:szCs w:val="1"/>
                <w:color w:val="auto"/>
              </w:rPr>
            </w:pPr>
          </w:p>
        </w:tc>
      </w:tr>
      <w:tr>
        <w:trPr>
          <w:trHeight w:val="193"/>
        </w:trPr>
        <w:tc>
          <w:tcPr>
            <w:tcW w:w="6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896,772</w:t>
            </w:r>
          </w:p>
        </w:tc>
        <w:tc>
          <w:tcPr>
            <w:tcW w:w="2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904,935</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(27,295)</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(17,695)</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(2,566)</w:t>
            </w:r>
          </w:p>
        </w:tc>
        <w:tc>
          <w:tcPr>
            <w:tcW w:w="0" w:type="dxa"/>
            <w:vAlign w:val="bottom"/>
          </w:tcPr>
          <w:p>
            <w:pPr>
              <w:spacing w:after="0"/>
              <w:rPr>
                <w:sz w:val="1"/>
                <w:szCs w:val="1"/>
                <w:color w:val="auto"/>
              </w:rPr>
            </w:pPr>
          </w:p>
        </w:tc>
      </w:tr>
      <w:tr>
        <w:trPr>
          <w:trHeight w:val="193"/>
        </w:trPr>
        <w:tc>
          <w:tcPr>
            <w:tcW w:w="6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48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(499,940)</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(531,127)</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(77,006)</w:t>
            </w:r>
          </w:p>
        </w:tc>
        <w:tc>
          <w:tcPr>
            <w:tcW w:w="0" w:type="dxa"/>
            <w:vAlign w:val="bottom"/>
          </w:tcPr>
          <w:p>
            <w:pPr>
              <w:spacing w:after="0"/>
              <w:rPr>
                <w:sz w:val="1"/>
                <w:szCs w:val="1"/>
                <w:color w:val="auto"/>
              </w:rPr>
            </w:pPr>
          </w:p>
        </w:tc>
      </w:tr>
      <w:tr>
        <w:trPr>
          <w:trHeight w:val="24"/>
        </w:trPr>
        <w:tc>
          <w:tcPr>
            <w:tcW w:w="6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 attributable to Huize Holding Limited shareholders</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360,064</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340,879</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49,422</w:t>
            </w:r>
          </w:p>
        </w:tc>
        <w:tc>
          <w:tcPr>
            <w:tcW w:w="0" w:type="dxa"/>
            <w:vAlign w:val="bottom"/>
          </w:tcPr>
          <w:p>
            <w:pPr>
              <w:spacing w:after="0"/>
              <w:rPr>
                <w:sz w:val="1"/>
                <w:szCs w:val="1"/>
                <w:color w:val="auto"/>
              </w:rPr>
            </w:pPr>
          </w:p>
        </w:tc>
      </w:tr>
      <w:tr>
        <w:trPr>
          <w:trHeight w:val="193"/>
        </w:trPr>
        <w:tc>
          <w:tcPr>
            <w:tcW w:w="6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4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849</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1,146</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4"/>
        </w:trPr>
        <w:tc>
          <w:tcPr>
            <w:tcW w:w="6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360,913</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342,025</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49,588</w:t>
            </w:r>
          </w:p>
        </w:tc>
        <w:tc>
          <w:tcPr>
            <w:tcW w:w="0" w:type="dxa"/>
            <w:vAlign w:val="bottom"/>
          </w:tcPr>
          <w:p>
            <w:pPr>
              <w:spacing w:after="0"/>
              <w:rPr>
                <w:sz w:val="1"/>
                <w:szCs w:val="1"/>
                <w:color w:val="auto"/>
              </w:rPr>
            </w:pPr>
          </w:p>
        </w:tc>
      </w:tr>
      <w:tr>
        <w:trPr>
          <w:trHeight w:val="197"/>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48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1,857,454</w:t>
            </w:r>
          </w:p>
        </w:tc>
        <w:tc>
          <w:tcPr>
            <w:tcW w:w="2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1,089,614</w:t>
            </w:r>
          </w:p>
        </w:tc>
        <w:tc>
          <w:tcPr>
            <w:tcW w:w="1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color w:val="auto"/>
        </w:rPr>
        <w:t>The accompanying notes form an integral part of these consolidated financial statements.</w:t>
      </w:r>
    </w:p>
    <w:p>
      <w:pPr>
        <w:spacing w:after="0" w:line="14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color w:val="auto"/>
        </w:rPr>
        <w:t>F-6</w:t>
      </w:r>
    </w:p>
    <w:p>
      <w:pPr>
        <w:sectPr>
          <w:pgSz w:w="11900" w:h="16838" w:orient="portrait"/>
          <w:cols w:equalWidth="0" w:num="1">
            <w:col w:w="10540"/>
          </w:cols>
          <w:pgMar w:left="320" w:top="447" w:right="10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INCOME/(LOSS)</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FOR THE YEARS ENDED DECEMBER 31, 2020, 2021 AND 2022</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7"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90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Note</w:t>
            </w:r>
          </w:p>
        </w:tc>
        <w:tc>
          <w:tcPr>
            <w:tcW w:w="860" w:type="dxa"/>
            <w:vAlign w:val="bottom"/>
            <w:vMerge w:val="restart"/>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2020</w:t>
            </w:r>
          </w:p>
        </w:tc>
        <w:tc>
          <w:tcPr>
            <w:tcW w:w="200" w:type="dxa"/>
            <w:vAlign w:val="bottom"/>
          </w:tcPr>
          <w:p>
            <w:pPr>
              <w:spacing w:after="0"/>
              <w:rPr>
                <w:sz w:val="12"/>
                <w:szCs w:val="12"/>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Pr>
          <w:p>
            <w:pPr>
              <w:spacing w:after="0"/>
              <w:rPr>
                <w:sz w:val="13"/>
                <w:szCs w:val="13"/>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jc w:val="right"/>
              <w:ind w:right="261"/>
              <w:spacing w:after="0" w:line="103" w:lineRule="exact"/>
              <w:rPr>
                <w:sz w:val="20"/>
                <w:szCs w:val="20"/>
                <w:color w:val="auto"/>
              </w:rPr>
            </w:pPr>
            <w:r>
              <w:rPr>
                <w:rFonts w:ascii="Times New Roman" w:cs="Times New Roman" w:eastAsia="Times New Roman" w:hAnsi="Times New Roman"/>
                <w:sz w:val="11"/>
                <w:szCs w:val="11"/>
                <w:b w:val="1"/>
                <w:bCs w:val="1"/>
                <w:color w:val="auto"/>
              </w:rPr>
              <w:t>USD$</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RMB</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RMB</w:t>
            </w:r>
          </w:p>
        </w:tc>
        <w:tc>
          <w:tcPr>
            <w:tcW w:w="1340" w:type="dxa"/>
            <w:vAlign w:val="bottom"/>
            <w:gridSpan w:val="3"/>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RMB</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Note 2(f)</w:t>
            </w: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9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Brokerage income</w:t>
            </w:r>
          </w:p>
        </w:tc>
        <w:tc>
          <w:tcPr>
            <w:tcW w:w="90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8"/>
              </w:rPr>
              <w:t>2(y), 18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1,215,434</w:t>
            </w:r>
          </w:p>
        </w:tc>
        <w:tc>
          <w:tcPr>
            <w:tcW w:w="20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2,232,253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1,108,652</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160,739</w:t>
            </w: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income</w:t>
            </w:r>
          </w:p>
        </w:tc>
        <w:tc>
          <w:tcPr>
            <w:tcW w:w="9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4,788</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12,763</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49,256</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7,141</w:t>
            </w:r>
          </w:p>
        </w:tc>
        <w:tc>
          <w:tcPr>
            <w:tcW w:w="0" w:type="dxa"/>
            <w:vAlign w:val="bottom"/>
          </w:tcPr>
          <w:p>
            <w:pPr>
              <w:spacing w:after="0"/>
              <w:rPr>
                <w:sz w:val="1"/>
                <w:szCs w:val="1"/>
                <w:color w:val="auto"/>
              </w:rPr>
            </w:pPr>
          </w:p>
        </w:tc>
      </w:tr>
      <w:tr>
        <w:trPr>
          <w:trHeight w:val="201"/>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revenue</w:t>
            </w:r>
          </w:p>
        </w:tc>
        <w:tc>
          <w:tcPr>
            <w:tcW w:w="9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1,220,222</w:t>
            </w:r>
          </w:p>
        </w:tc>
        <w:tc>
          <w:tcPr>
            <w:tcW w:w="2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2,245,016</w:t>
            </w:r>
          </w:p>
        </w:tc>
        <w:tc>
          <w:tcPr>
            <w:tcW w:w="2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1,157,908</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9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revenue</w:t>
            </w:r>
          </w:p>
        </w:tc>
        <w:tc>
          <w:tcPr>
            <w:tcW w:w="90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rPr>
              <w:t>2(z)</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(813,507)</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(1,688,087)</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(706,009)</w:t>
            </w:r>
          </w:p>
        </w:tc>
        <w:tc>
          <w:tcPr>
            <w:tcW w:w="1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(102,361)</w:t>
            </w: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cost</w:t>
            </w:r>
          </w:p>
        </w:tc>
        <w:tc>
          <w:tcPr>
            <w:tcW w:w="9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(2,846)</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(2,670)</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(28,282)</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(4,101)</w:t>
            </w:r>
          </w:p>
        </w:tc>
        <w:tc>
          <w:tcPr>
            <w:tcW w:w="0" w:type="dxa"/>
            <w:vAlign w:val="bottom"/>
          </w:tcPr>
          <w:p>
            <w:pPr>
              <w:spacing w:after="0"/>
              <w:rPr>
                <w:sz w:val="1"/>
                <w:szCs w:val="1"/>
                <w:color w:val="auto"/>
              </w:rPr>
            </w:pPr>
          </w:p>
        </w:tc>
      </w:tr>
      <w:tr>
        <w:trPr>
          <w:trHeight w:val="197"/>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costs</w:t>
            </w:r>
          </w:p>
        </w:tc>
        <w:tc>
          <w:tcPr>
            <w:tcW w:w="90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(816,353)</w:t>
            </w:r>
          </w:p>
        </w:tc>
        <w:tc>
          <w:tcPr>
            <w:tcW w:w="2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(1,690,757)</w:t>
            </w:r>
          </w:p>
        </w:tc>
        <w:tc>
          <w:tcPr>
            <w:tcW w:w="20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(734,291)</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Selling expenses</w:t>
            </w:r>
          </w:p>
        </w:tc>
        <w:tc>
          <w:tcPr>
            <w:tcW w:w="90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19</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(230,438)</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(350,573)</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(231,664)</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(33,588)</w:t>
            </w:r>
          </w:p>
        </w:tc>
        <w:tc>
          <w:tcPr>
            <w:tcW w:w="0" w:type="dxa"/>
            <w:vAlign w:val="bottom"/>
          </w:tcPr>
          <w:p>
            <w:pPr>
              <w:spacing w:after="0"/>
              <w:rPr>
                <w:sz w:val="1"/>
                <w:szCs w:val="1"/>
                <w:color w:val="auto"/>
              </w:rPr>
            </w:pPr>
          </w:p>
        </w:tc>
      </w:tr>
      <w:tr>
        <w:trPr>
          <w:trHeight w:val="193"/>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900" w:type="dxa"/>
            <w:vAlign w:val="bottom"/>
          </w:tcPr>
          <w:p>
            <w:pPr>
              <w:jc w:val="center"/>
              <w:ind w:left="61"/>
              <w:spacing w:after="0"/>
              <w:rPr>
                <w:sz w:val="20"/>
                <w:szCs w:val="20"/>
                <w:color w:val="auto"/>
              </w:rPr>
            </w:pPr>
            <w:r>
              <w:rPr>
                <w:rFonts w:ascii="Times New Roman" w:cs="Times New Roman" w:eastAsia="Times New Roman" w:hAnsi="Times New Roman"/>
                <w:sz w:val="16"/>
                <w:szCs w:val="16"/>
                <w:color w:val="auto"/>
                <w:w w:val="99"/>
              </w:rPr>
              <w:t>20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(150,207)</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(197,619)</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(154,715)</w:t>
            </w:r>
          </w:p>
        </w:tc>
        <w:tc>
          <w:tcPr>
            <w:tcW w:w="1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(22,432)</w:t>
            </w: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9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(49,135)</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(120,478)</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(80,911)</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(11,731)</w:t>
            </w:r>
          </w:p>
        </w:tc>
        <w:tc>
          <w:tcPr>
            <w:tcW w:w="0" w:type="dxa"/>
            <w:vAlign w:val="bottom"/>
          </w:tcPr>
          <w:p>
            <w:pPr>
              <w:spacing w:after="0"/>
              <w:rPr>
                <w:sz w:val="1"/>
                <w:szCs w:val="1"/>
                <w:color w:val="auto"/>
              </w:rPr>
            </w:pPr>
          </w:p>
        </w:tc>
      </w:tr>
      <w:tr>
        <w:trPr>
          <w:trHeight w:val="201"/>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costs and expenses</w:t>
            </w:r>
          </w:p>
        </w:tc>
        <w:tc>
          <w:tcPr>
            <w:tcW w:w="9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(1,246,133)</w:t>
            </w:r>
          </w:p>
        </w:tc>
        <w:tc>
          <w:tcPr>
            <w:tcW w:w="2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(2,359,427)</w:t>
            </w:r>
          </w:p>
        </w:tc>
        <w:tc>
          <w:tcPr>
            <w:tcW w:w="2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(1,201,581)</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(174,213)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income/(loss)</w:t>
            </w:r>
          </w:p>
        </w:tc>
        <w:tc>
          <w:tcPr>
            <w:tcW w:w="9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(25,911)</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(114,411)</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(43,673)</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(6,333)</w:t>
            </w:r>
          </w:p>
        </w:tc>
        <w:tc>
          <w:tcPr>
            <w:tcW w:w="0" w:type="dxa"/>
            <w:vAlign w:val="bottom"/>
          </w:tcPr>
          <w:p>
            <w:pPr>
              <w:spacing w:after="0"/>
              <w:rPr>
                <w:sz w:val="1"/>
                <w:szCs w:val="1"/>
                <w:color w:val="auto"/>
              </w:rPr>
            </w:pPr>
          </w:p>
        </w:tc>
      </w:tr>
      <w:tr>
        <w:trPr>
          <w:trHeight w:val="197"/>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income/(expenses)</w:t>
            </w:r>
          </w:p>
        </w:tc>
        <w:tc>
          <w:tcPr>
            <w:tcW w:w="9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income/(expenses)</w:t>
            </w:r>
          </w:p>
        </w:tc>
        <w:tc>
          <w:tcPr>
            <w:tcW w:w="9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(1,157)</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(3,206)</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(5,062)</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193"/>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Unrealized exchange income/(loss)</w:t>
            </w:r>
          </w:p>
        </w:tc>
        <w:tc>
          <w:tcPr>
            <w:tcW w:w="9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Investment income/(loss)</w:t>
            </w:r>
          </w:p>
        </w:tc>
        <w:tc>
          <w:tcPr>
            <w:tcW w:w="90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21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137</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(5,328)</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(2,216)</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197"/>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Others, net</w:t>
            </w:r>
          </w:p>
        </w:tc>
        <w:tc>
          <w:tcPr>
            <w:tcW w:w="90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7"/>
              </w:rPr>
              <w:t>2(dd)</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10,177</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12,627</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19,490</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2,826</w:t>
            </w:r>
          </w:p>
        </w:tc>
        <w:tc>
          <w:tcPr>
            <w:tcW w:w="0" w:type="dxa"/>
            <w:vAlign w:val="bottom"/>
          </w:tcPr>
          <w:p>
            <w:pPr>
              <w:spacing w:after="0"/>
              <w:rPr>
                <w:sz w:val="1"/>
                <w:szCs w:val="1"/>
                <w:color w:val="auto"/>
              </w:rPr>
            </w:pPr>
          </w:p>
        </w:tc>
      </w:tr>
      <w:tr>
        <w:trPr>
          <w:trHeight w:val="174"/>
        </w:trPr>
        <w:tc>
          <w:tcPr>
            <w:tcW w:w="44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Profit/(Loss) before income tax, and share of income/(loss) of</w:t>
            </w:r>
          </w:p>
        </w:tc>
        <w:tc>
          <w:tcPr>
            <w:tcW w:w="90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equity method investee</w:t>
            </w:r>
          </w:p>
        </w:tc>
        <w:tc>
          <w:tcPr>
            <w:tcW w:w="9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(16,763)</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(110,377)</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(31,540)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(4,573)</w:t>
            </w:r>
          </w:p>
        </w:tc>
        <w:tc>
          <w:tcPr>
            <w:tcW w:w="0" w:type="dxa"/>
            <w:vAlign w:val="bottom"/>
          </w:tcPr>
          <w:p>
            <w:pPr>
              <w:spacing w:after="0"/>
              <w:rPr>
                <w:sz w:val="1"/>
                <w:szCs w:val="1"/>
                <w:color w:val="auto"/>
              </w:rPr>
            </w:pPr>
          </w:p>
        </w:tc>
      </w:tr>
      <w:tr>
        <w:trPr>
          <w:trHeight w:val="197"/>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Income tax expense</w:t>
            </w:r>
          </w:p>
        </w:tc>
        <w:tc>
          <w:tcPr>
            <w:tcW w:w="900" w:type="dxa"/>
            <w:vAlign w:val="bottom"/>
          </w:tcPr>
          <w:p>
            <w:pPr>
              <w:jc w:val="center"/>
              <w:ind w:left="61"/>
              <w:spacing w:after="0"/>
              <w:rPr>
                <w:sz w:val="20"/>
                <w:szCs w:val="20"/>
                <w:color w:val="auto"/>
              </w:rPr>
            </w:pPr>
            <w:r>
              <w:rPr>
                <w:rFonts w:ascii="Times New Roman" w:cs="Times New Roman" w:eastAsia="Times New Roman" w:hAnsi="Times New Roman"/>
                <w:sz w:val="16"/>
                <w:szCs w:val="16"/>
                <w:color w:val="auto"/>
                <w:w w:val="99"/>
              </w:rPr>
              <w:t>13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200" w:type="dxa"/>
            <w:vAlign w:val="bottom"/>
          </w:tcPr>
          <w:p>
            <w:pPr>
              <w:spacing w:after="0"/>
              <w:rPr>
                <w:sz w:val="17"/>
                <w:szCs w:val="17"/>
                <w:color w:val="auto"/>
              </w:rPr>
            </w:pPr>
          </w:p>
        </w:tc>
        <w:tc>
          <w:tcPr>
            <w:tcW w:w="9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 of income/(loss) of equity method investee</w:t>
            </w:r>
          </w:p>
        </w:tc>
        <w:tc>
          <w:tcPr>
            <w:tcW w:w="9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239</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2,660</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(2,200)</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01"/>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profit/(loss)</w:t>
            </w:r>
          </w:p>
        </w:tc>
        <w:tc>
          <w:tcPr>
            <w:tcW w:w="9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(18,292)</w:t>
            </w:r>
          </w:p>
        </w:tc>
        <w:tc>
          <w:tcPr>
            <w:tcW w:w="2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(107,717)</w:t>
            </w:r>
          </w:p>
        </w:tc>
        <w:tc>
          <w:tcPr>
            <w:tcW w:w="2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(33,740)</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profit/(loss) attributable to non-controlling interests</w:t>
            </w:r>
          </w:p>
        </w:tc>
        <w:tc>
          <w:tcPr>
            <w:tcW w:w="9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(2,553)</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01"/>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profit/(loss) attributable to Huize Holding Limited</w:t>
            </w:r>
          </w:p>
        </w:tc>
        <w:tc>
          <w:tcPr>
            <w:tcW w:w="9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(18,292)</w:t>
            </w:r>
          </w:p>
        </w:tc>
        <w:tc>
          <w:tcPr>
            <w:tcW w:w="2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(107,666)</w:t>
            </w:r>
          </w:p>
        </w:tc>
        <w:tc>
          <w:tcPr>
            <w:tcW w:w="2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(31,187)</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Redeemable preferred shares redemption value accretion</w:t>
            </w:r>
          </w:p>
        </w:tc>
        <w:tc>
          <w:tcPr>
            <w:tcW w:w="90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16</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(4,274)</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Allocation to redeemable preferred shares</w:t>
            </w:r>
          </w:p>
        </w:tc>
        <w:tc>
          <w:tcPr>
            <w:tcW w:w="90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200" w:type="dxa"/>
            <w:vAlign w:val="bottom"/>
          </w:tcPr>
          <w:p>
            <w:pPr>
              <w:spacing w:after="0"/>
              <w:rPr>
                <w:sz w:val="17"/>
                <w:szCs w:val="17"/>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profit/(loss) attributable to common shareholders</w:t>
            </w:r>
          </w:p>
        </w:tc>
        <w:tc>
          <w:tcPr>
            <w:tcW w:w="9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(21,492)</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(107,666)</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(31,187)</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(4,522)</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profit/(loss)</w:t>
            </w:r>
          </w:p>
        </w:tc>
        <w:tc>
          <w:tcPr>
            <w:tcW w:w="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40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(18,292)</w:t>
            </w:r>
          </w:p>
        </w:tc>
        <w:tc>
          <w:tcPr>
            <w:tcW w:w="20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(107,717)</w:t>
            </w:r>
          </w:p>
        </w:tc>
        <w:tc>
          <w:tcPr>
            <w:tcW w:w="20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(33,740)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(4,892)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9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(22,386)</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(5,323)</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9,600</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1,392</w:t>
            </w:r>
          </w:p>
        </w:tc>
        <w:tc>
          <w:tcPr>
            <w:tcW w:w="0" w:type="dxa"/>
            <w:vAlign w:val="bottom"/>
          </w:tcPr>
          <w:p>
            <w:pPr>
              <w:spacing w:after="0"/>
              <w:rPr>
                <w:sz w:val="1"/>
                <w:szCs w:val="1"/>
                <w:color w:val="auto"/>
              </w:rPr>
            </w:pPr>
          </w:p>
        </w:tc>
      </w:tr>
      <w:tr>
        <w:trPr>
          <w:trHeight w:val="197"/>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income/(loss)</w:t>
            </w:r>
          </w:p>
        </w:tc>
        <w:tc>
          <w:tcPr>
            <w:tcW w:w="9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(40,678)</w:t>
            </w:r>
          </w:p>
        </w:tc>
        <w:tc>
          <w:tcPr>
            <w:tcW w:w="2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(113,040)</w:t>
            </w:r>
          </w:p>
        </w:tc>
        <w:tc>
          <w:tcPr>
            <w:tcW w:w="2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(24,140)</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4400" w:type="dxa"/>
            <w:vAlign w:val="bottom"/>
          </w:tcPr>
          <w:p>
            <w:pPr>
              <w:spacing w:after="0"/>
              <w:rPr>
                <w:sz w:val="24"/>
                <w:szCs w:val="24"/>
                <w:color w:val="auto"/>
              </w:rPr>
            </w:pPr>
          </w:p>
        </w:tc>
        <w:tc>
          <w:tcPr>
            <w:tcW w:w="9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F-7</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320" w:top="447" w:right="10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INCOME/(LOSS)</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FOR THE YEARS ENDED DECEMBER 31, 2020, 2021 AND 2022</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03"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860" w:type="dxa"/>
            <w:vAlign w:val="bottom"/>
            <w:vMerge w:val="restart"/>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2020</w:t>
            </w:r>
          </w:p>
        </w:tc>
        <w:tc>
          <w:tcPr>
            <w:tcW w:w="200" w:type="dxa"/>
            <w:vAlign w:val="bottom"/>
          </w:tcPr>
          <w:p>
            <w:pPr>
              <w:spacing w:after="0"/>
              <w:rPr>
                <w:sz w:val="12"/>
                <w:szCs w:val="12"/>
                <w:color w:val="auto"/>
              </w:rPr>
            </w:pPr>
          </w:p>
        </w:tc>
        <w:tc>
          <w:tcPr>
            <w:tcW w:w="242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Pr>
          <w:p>
            <w:pPr>
              <w:spacing w:after="0"/>
              <w:rPr>
                <w:sz w:val="13"/>
                <w:szCs w:val="13"/>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jc w:val="right"/>
              <w:ind w:right="267"/>
              <w:spacing w:after="0" w:line="103" w:lineRule="exact"/>
              <w:rPr>
                <w:sz w:val="20"/>
                <w:szCs w:val="20"/>
                <w:color w:val="auto"/>
              </w:rPr>
            </w:pPr>
            <w:r>
              <w:rPr>
                <w:rFonts w:ascii="Times New Roman" w:cs="Times New Roman" w:eastAsia="Times New Roman" w:hAnsi="Times New Roman"/>
                <w:sz w:val="11"/>
                <w:szCs w:val="11"/>
                <w:b w:val="1"/>
                <w:bCs w:val="1"/>
                <w:color w:val="auto"/>
              </w:rPr>
              <w:t>USD$</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RMB</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RMB</w:t>
            </w:r>
          </w:p>
        </w:tc>
        <w:tc>
          <w:tcPr>
            <w:tcW w:w="1240" w:type="dxa"/>
            <w:vAlign w:val="bottom"/>
            <w:gridSpan w:val="3"/>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RMB</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Note 2(f)</w:t>
            </w:r>
          </w:p>
        </w:tc>
        <w:tc>
          <w:tcPr>
            <w:tcW w:w="0" w:type="dxa"/>
            <w:vAlign w:val="bottom"/>
          </w:tcPr>
          <w:p>
            <w:pPr>
              <w:spacing w:after="0"/>
              <w:rPr>
                <w:sz w:val="1"/>
                <w:szCs w:val="1"/>
                <w:color w:val="auto"/>
              </w:rPr>
            </w:pPr>
          </w:p>
        </w:tc>
      </w:tr>
      <w:tr>
        <w:trPr>
          <w:trHeight w:val="19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income/(loss) attributable to non-controlling interests</w:t>
            </w:r>
          </w:p>
        </w:tc>
        <w:tc>
          <w:tcPr>
            <w:tcW w:w="4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(2,553)</w:t>
            </w:r>
          </w:p>
        </w:tc>
        <w:tc>
          <w:tcPr>
            <w:tcW w:w="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01"/>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income/(loss) attributable to Huize Holding Limited</w:t>
            </w:r>
          </w:p>
        </w:tc>
        <w:tc>
          <w:tcPr>
            <w:tcW w:w="4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(40,678)</w:t>
            </w:r>
          </w:p>
        </w:tc>
        <w:tc>
          <w:tcPr>
            <w:tcW w:w="2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(112,989)</w:t>
            </w:r>
          </w:p>
        </w:tc>
        <w:tc>
          <w:tcPr>
            <w:tcW w:w="2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(21,587)</w:t>
            </w:r>
          </w:p>
        </w:tc>
        <w:tc>
          <w:tcPr>
            <w:tcW w:w="20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8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Weighted average number of common shares used in computing net</w:t>
            </w: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profit per share</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 and diluted</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963,817,614</w:t>
            </w:r>
          </w:p>
        </w:tc>
        <w:tc>
          <w:tcPr>
            <w:tcW w:w="20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1,021,861,206</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1,021,958,881</w:t>
            </w:r>
          </w:p>
        </w:tc>
        <w:tc>
          <w:tcPr>
            <w:tcW w:w="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1,021,958,881</w:t>
            </w:r>
          </w:p>
        </w:tc>
        <w:tc>
          <w:tcPr>
            <w:tcW w:w="0" w:type="dxa"/>
            <w:vAlign w:val="bottom"/>
          </w:tcPr>
          <w:p>
            <w:pPr>
              <w:spacing w:after="0"/>
              <w:rPr>
                <w:sz w:val="1"/>
                <w:szCs w:val="1"/>
                <w:color w:val="auto"/>
              </w:rPr>
            </w:pPr>
          </w:p>
        </w:tc>
      </w:tr>
      <w:tr>
        <w:trPr>
          <w:trHeight w:val="19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per share attributable to common shareholders</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 and diluted</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(0.02)</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(0.11)</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(0.03)</w:t>
            </w:r>
          </w:p>
        </w:tc>
        <w:tc>
          <w:tcPr>
            <w:tcW w:w="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color w:val="auto"/>
        </w:rPr>
        <w:t>The accompanying notes form an integral part of these consolidated financial statements.</w:t>
      </w:r>
    </w:p>
    <w:p>
      <w:pPr>
        <w:spacing w:after="0" w:line="14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color w:val="auto"/>
        </w:rPr>
        <w:t>F-8</w:t>
      </w:r>
    </w:p>
    <w:p>
      <w:pPr>
        <w:sectPr>
          <w:pgSz w:w="11900" w:h="16838" w:orient="portrait"/>
          <w:cols w:equalWidth="0" w:num="1">
            <w:col w:w="10540"/>
          </w:cols>
          <w:pgMar w:left="320" w:top="447" w:right="10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SHAREHOLDERS’ (DEFICIT)/EQUITY</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FOR THE YEARS ENDED DECEMBER 31, 2020, 2021 AND 2022</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202"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Non-</w:t>
            </w:r>
          </w:p>
        </w:tc>
        <w:tc>
          <w:tcPr>
            <w:tcW w:w="100" w:type="dxa"/>
            <w:vAlign w:val="bottom"/>
          </w:tcPr>
          <w:p>
            <w:pPr>
              <w:spacing w:after="0"/>
              <w:rPr>
                <w:sz w:val="11"/>
                <w:szCs w:val="11"/>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4"/>
        </w:trPr>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86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4"/>
          </w:tcPr>
          <w:p>
            <w:pPr>
              <w:jc w:val="center"/>
              <w:ind w:right="80"/>
              <w:spacing w:after="0" w:line="121" w:lineRule="exact"/>
              <w:rPr>
                <w:sz w:val="20"/>
                <w:szCs w:val="20"/>
                <w:color w:val="auto"/>
              </w:rPr>
            </w:pPr>
            <w:r>
              <w:rPr>
                <w:rFonts w:ascii="Times New Roman" w:cs="Times New Roman" w:eastAsia="Times New Roman" w:hAnsi="Times New Roman"/>
                <w:sz w:val="11"/>
                <w:szCs w:val="11"/>
                <w:b w:val="1"/>
                <w:bCs w:val="1"/>
                <w:color w:val="auto"/>
              </w:rPr>
              <w:t>Class A Common</w:t>
            </w:r>
          </w:p>
        </w:tc>
        <w:tc>
          <w:tcPr>
            <w:tcW w:w="1180" w:type="dxa"/>
            <w:vAlign w:val="bottom"/>
            <w:gridSpan w:val="4"/>
          </w:tcPr>
          <w:p>
            <w:pPr>
              <w:ind w:left="140"/>
              <w:spacing w:after="0" w:line="121" w:lineRule="exact"/>
              <w:rPr>
                <w:sz w:val="20"/>
                <w:szCs w:val="20"/>
                <w:color w:val="auto"/>
              </w:rPr>
            </w:pPr>
            <w:r>
              <w:rPr>
                <w:rFonts w:ascii="Times New Roman" w:cs="Times New Roman" w:eastAsia="Times New Roman" w:hAnsi="Times New Roman"/>
                <w:sz w:val="11"/>
                <w:szCs w:val="11"/>
                <w:b w:val="1"/>
                <w:bCs w:val="1"/>
                <w:color w:val="auto"/>
              </w:rPr>
              <w:t>Class B Common</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rPr>
              <w:t>paid-in</w:t>
            </w:r>
          </w:p>
        </w:tc>
        <w:tc>
          <w:tcPr>
            <w:tcW w:w="860" w:type="dxa"/>
            <w:vAlign w:val="bottom"/>
            <w:gridSpan w:val="2"/>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76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56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100" w:type="dxa"/>
            <w:vAlign w:val="bottom"/>
          </w:tcPr>
          <w:p>
            <w:pPr>
              <w:spacing w:after="0"/>
              <w:rPr>
                <w:sz w:val="10"/>
                <w:szCs w:val="10"/>
                <w:color w:val="auto"/>
              </w:rPr>
            </w:pPr>
          </w:p>
        </w:tc>
        <w:tc>
          <w:tcPr>
            <w:tcW w:w="780" w:type="dxa"/>
            <w:vAlign w:val="bottom"/>
            <w:gridSpan w:val="2"/>
          </w:tcPr>
          <w:p>
            <w:pPr>
              <w:jc w:val="center"/>
              <w:ind w:right="80"/>
              <w:spacing w:after="0" w:line="121"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127"/>
        </w:trPr>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4"/>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16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180" w:type="dxa"/>
            <w:vAlign w:val="bottom"/>
            <w:gridSpan w:val="4"/>
          </w:tcPr>
          <w:p>
            <w:pPr>
              <w:ind w:left="4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1"/>
                <w:szCs w:val="11"/>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(deficit)/equity</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2"/>
          </w:tcPr>
          <w:p>
            <w:pPr>
              <w:jc w:val="right"/>
              <w:ind w:right="280"/>
              <w:spacing w:after="0" w:line="121" w:lineRule="exact"/>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gridSpan w:val="2"/>
          </w:tcPr>
          <w:p>
            <w:pPr>
              <w:jc w:val="right"/>
              <w:ind w:right="120"/>
              <w:spacing w:after="0" w:line="121"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600" w:type="dxa"/>
            <w:vAlign w:val="bottom"/>
          </w:tcPr>
          <w:p>
            <w:pPr>
              <w:jc w:val="right"/>
              <w:ind w:right="84"/>
              <w:spacing w:after="0" w:line="121" w:lineRule="exact"/>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0"/>
                <w:szCs w:val="10"/>
                <w:color w:val="auto"/>
              </w:rPr>
            </w:pPr>
          </w:p>
        </w:tc>
        <w:tc>
          <w:tcPr>
            <w:tcW w:w="48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Amount</w:t>
            </w:r>
          </w:p>
        </w:tc>
        <w:tc>
          <w:tcPr>
            <w:tcW w:w="700" w:type="dxa"/>
            <w:vAlign w:val="bottom"/>
            <w:gridSpan w:val="2"/>
          </w:tcPr>
          <w:p>
            <w:pPr>
              <w:ind w:left="140"/>
              <w:spacing w:after="0" w:line="121" w:lineRule="exact"/>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400" w:type="dxa"/>
            <w:vAlign w:val="bottom"/>
          </w:tcPr>
          <w:p>
            <w:pPr>
              <w:ind w:left="40"/>
              <w:spacing w:after="0" w:line="121"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0"/>
                <w:szCs w:val="10"/>
                <w:color w:val="auto"/>
              </w:rPr>
            </w:pPr>
          </w:p>
        </w:tc>
        <w:tc>
          <w:tcPr>
            <w:tcW w:w="52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rPr>
              <w:t>Amount</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RMB</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RMB</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RMB</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RMB</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RMB</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RMB</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RMB</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2"/>
                <w:szCs w:val="12"/>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RMB</w:t>
            </w:r>
          </w:p>
        </w:tc>
        <w:tc>
          <w:tcPr>
            <w:tcW w:w="0" w:type="dxa"/>
            <w:vAlign w:val="bottom"/>
          </w:tcPr>
          <w:p>
            <w:pPr>
              <w:spacing w:after="0"/>
              <w:rPr>
                <w:sz w:val="1"/>
                <w:szCs w:val="1"/>
                <w:color w:val="auto"/>
              </w:rPr>
            </w:pPr>
          </w:p>
        </w:tc>
      </w:tr>
      <w:tr>
        <w:trPr>
          <w:trHeight w:val="103"/>
        </w:trPr>
        <w:tc>
          <w:tcPr>
            <w:tcW w:w="118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Balance at January 1,</w:t>
            </w:r>
          </w:p>
        </w:tc>
        <w:tc>
          <w:tcPr>
            <w:tcW w:w="3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2020</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483,310,373</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33</w:t>
            </w: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64,882</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414</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(373,982)</w:t>
            </w:r>
          </w:p>
        </w:tc>
        <w:tc>
          <w:tcPr>
            <w:tcW w:w="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(308,653)</w:t>
            </w:r>
          </w:p>
        </w:tc>
        <w:tc>
          <w:tcPr>
            <w:tcW w:w="0" w:type="dxa"/>
            <w:vAlign w:val="bottom"/>
          </w:tcPr>
          <w:p>
            <w:pPr>
              <w:spacing w:after="0"/>
              <w:rPr>
                <w:sz w:val="1"/>
                <w:szCs w:val="1"/>
                <w:color w:val="auto"/>
              </w:rPr>
            </w:pPr>
          </w:p>
        </w:tc>
      </w:tr>
      <w:tr>
        <w:trPr>
          <w:trHeight w:val="125"/>
        </w:trPr>
        <w:tc>
          <w:tcPr>
            <w:tcW w:w="118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Net loss for the year</w:t>
            </w:r>
          </w:p>
        </w:tc>
        <w:tc>
          <w:tcPr>
            <w:tcW w:w="300" w:type="dxa"/>
            <w:vAlign w:val="bottom"/>
          </w:tcPr>
          <w:p>
            <w:pPr>
              <w:spacing w:after="0"/>
              <w:rPr>
                <w:sz w:val="10"/>
                <w:szCs w:val="10"/>
                <w:color w:val="auto"/>
              </w:rPr>
            </w:pPr>
          </w:p>
        </w:tc>
        <w:tc>
          <w:tcPr>
            <w:tcW w:w="640" w:type="dxa"/>
            <w:vAlign w:val="bottom"/>
            <w:tcBorders>
              <w:top w:val="single" w:sz="8" w:color="auto"/>
            </w:tcBorders>
          </w:tcPr>
          <w:p>
            <w:pPr>
              <w:jc w:val="right"/>
              <w:ind w:right="4"/>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00" w:type="dxa"/>
            <w:vAlign w:val="bottom"/>
            <w:tcBorders>
              <w:top w:val="single" w:sz="8" w:color="auto"/>
            </w:tcBorders>
          </w:tcPr>
          <w:p>
            <w:pPr>
              <w:jc w:val="right"/>
              <w:ind w:right="4"/>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0" w:type="dxa"/>
            <w:vAlign w:val="bottom"/>
            <w:tcBorders>
              <w:top w:val="single" w:sz="8" w:color="auto"/>
            </w:tcBorders>
          </w:tcPr>
          <w:p>
            <w:pPr>
              <w:jc w:val="right"/>
              <w:ind w:right="4"/>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0" w:type="dxa"/>
            <w:vAlign w:val="bottom"/>
            <w:tcBorders>
              <w:top w:val="single" w:sz="8" w:color="auto"/>
            </w:tcBorders>
          </w:tcPr>
          <w:p>
            <w:pPr>
              <w:ind w:left="2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0" w:type="dxa"/>
            <w:vAlign w:val="bottom"/>
            <w:tcBorders>
              <w:top w:val="single" w:sz="8" w:color="auto"/>
            </w:tcBorders>
          </w:tcPr>
          <w:p>
            <w:pPr>
              <w:ind w:left="4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80" w:type="dxa"/>
            <w:vAlign w:val="bottom"/>
            <w:tcBorders>
              <w:top w:val="single" w:sz="8" w:color="auto"/>
            </w:tcBorders>
          </w:tcPr>
          <w:p>
            <w:pPr>
              <w:ind w:left="22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Borders>
              <w:top w:val="single" w:sz="8" w:color="auto"/>
            </w:tcBorders>
          </w:tcPr>
          <w:p>
            <w:pPr>
              <w:ind w:left="2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Borders>
              <w:top w:val="single" w:sz="8" w:color="auto"/>
            </w:tcBorders>
          </w:tcPr>
          <w:p>
            <w:pPr>
              <w:jc w:val="center"/>
              <w:ind w:left="104"/>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20" w:type="dxa"/>
            <w:vAlign w:val="bottom"/>
            <w:tcBorders>
              <w:top w:val="single" w:sz="8" w:color="auto"/>
            </w:tcBorders>
          </w:tcPr>
          <w:p>
            <w:pPr>
              <w:ind w:left="3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20" w:type="dxa"/>
            <w:vAlign w:val="bottom"/>
            <w:tcBorders>
              <w:top w:val="single" w:sz="8" w:color="auto"/>
            </w:tcBorders>
          </w:tcPr>
          <w:p>
            <w:pPr>
              <w:ind w:left="5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(18,292)</w:t>
            </w:r>
          </w:p>
        </w:tc>
        <w:tc>
          <w:tcPr>
            <w:tcW w:w="120" w:type="dxa"/>
            <w:vAlign w:val="bottom"/>
          </w:tcPr>
          <w:p>
            <w:pPr>
              <w:spacing w:after="0"/>
              <w:rPr>
                <w:sz w:val="10"/>
                <w:szCs w:val="10"/>
                <w:color w:val="auto"/>
              </w:rPr>
            </w:pPr>
          </w:p>
        </w:tc>
        <w:tc>
          <w:tcPr>
            <w:tcW w:w="560" w:type="dxa"/>
            <w:vAlign w:val="bottom"/>
            <w:tcBorders>
              <w:top w:val="single" w:sz="8" w:color="auto"/>
            </w:tcBorders>
          </w:tcPr>
          <w:p>
            <w:pPr>
              <w:ind w:left="40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(18,292)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18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1"/>
                <w:szCs w:val="11"/>
                <w:color w:val="auto"/>
              </w:rPr>
              <w:t>Issuance of common</w:t>
            </w:r>
          </w:p>
        </w:tc>
        <w:tc>
          <w:tcPr>
            <w:tcW w:w="3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8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1"/>
                <w:szCs w:val="11"/>
                <w:color w:val="auto"/>
              </w:rPr>
              <w:t>shares upon Initial</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1"/>
                <w:szCs w:val="11"/>
                <w:color w:val="auto"/>
              </w:rPr>
              <w:t>Public Offering</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(“IPO”)</w:t>
            </w:r>
          </w:p>
        </w:tc>
        <w:tc>
          <w:tcPr>
            <w:tcW w:w="3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rPr>
              <w:t>15</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105,000,000</w:t>
            </w: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7</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324,208</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324,215</w:t>
            </w:r>
          </w:p>
        </w:tc>
        <w:tc>
          <w:tcPr>
            <w:tcW w:w="0" w:type="dxa"/>
            <w:vAlign w:val="bottom"/>
          </w:tcPr>
          <w:p>
            <w:pPr>
              <w:spacing w:after="0"/>
              <w:rPr>
                <w:sz w:val="1"/>
                <w:szCs w:val="1"/>
                <w:color w:val="auto"/>
              </w:rPr>
            </w:pPr>
          </w:p>
        </w:tc>
      </w:tr>
      <w:tr>
        <w:trPr>
          <w:trHeight w:val="105"/>
        </w:trPr>
        <w:tc>
          <w:tcPr>
            <w:tcW w:w="1180" w:type="dxa"/>
            <w:vAlign w:val="bottom"/>
          </w:tcPr>
          <w:p>
            <w:pPr>
              <w:spacing w:after="0" w:line="105" w:lineRule="exact"/>
              <w:rPr>
                <w:sz w:val="20"/>
                <w:szCs w:val="20"/>
                <w:color w:val="auto"/>
              </w:rPr>
            </w:pPr>
            <w:r>
              <w:rPr>
                <w:rFonts w:ascii="Times New Roman" w:cs="Times New Roman" w:eastAsia="Times New Roman" w:hAnsi="Times New Roman"/>
                <w:sz w:val="11"/>
                <w:szCs w:val="11"/>
                <w:color w:val="auto"/>
              </w:rPr>
              <w:t>Shares issued upon</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80" w:type="dxa"/>
            <w:vAlign w:val="bottom"/>
          </w:tcPr>
          <w:p>
            <w:pPr>
              <w:ind w:left="120"/>
              <w:spacing w:after="0" w:line="121" w:lineRule="exact"/>
              <w:rPr>
                <w:sz w:val="20"/>
                <w:szCs w:val="20"/>
                <w:color w:val="auto"/>
              </w:rPr>
            </w:pPr>
            <w:r>
              <w:rPr>
                <w:rFonts w:ascii="Times New Roman" w:cs="Times New Roman" w:eastAsia="Times New Roman" w:hAnsi="Times New Roman"/>
                <w:sz w:val="11"/>
                <w:szCs w:val="11"/>
                <w:color w:val="auto"/>
              </w:rPr>
              <w:t>exercise of over-</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allotment option</w:t>
            </w:r>
          </w:p>
        </w:tc>
        <w:tc>
          <w:tcPr>
            <w:tcW w:w="3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15</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1,449,060</w:t>
            </w: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1</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4,851</w:t>
            </w:r>
          </w:p>
        </w:tc>
        <w:tc>
          <w:tcPr>
            <w:tcW w:w="140" w:type="dxa"/>
            <w:vAlign w:val="bottom"/>
          </w:tcPr>
          <w:p>
            <w:pPr>
              <w:spacing w:after="0"/>
              <w:rPr>
                <w:sz w:val="11"/>
                <w:szCs w:val="11"/>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4,852</w:t>
            </w:r>
          </w:p>
        </w:tc>
        <w:tc>
          <w:tcPr>
            <w:tcW w:w="0" w:type="dxa"/>
            <w:vAlign w:val="bottom"/>
          </w:tcPr>
          <w:p>
            <w:pPr>
              <w:spacing w:after="0"/>
              <w:rPr>
                <w:sz w:val="1"/>
                <w:szCs w:val="1"/>
                <w:color w:val="auto"/>
              </w:rPr>
            </w:pPr>
          </w:p>
        </w:tc>
      </w:tr>
      <w:tr>
        <w:trPr>
          <w:trHeight w:val="105"/>
        </w:trPr>
        <w:tc>
          <w:tcPr>
            <w:tcW w:w="118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1"/>
                <w:szCs w:val="11"/>
                <w:color w:val="auto"/>
              </w:rPr>
              <w:t>Re-designation of</w:t>
            </w:r>
          </w:p>
        </w:tc>
        <w:tc>
          <w:tcPr>
            <w:tcW w:w="3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8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1"/>
                <w:szCs w:val="11"/>
                <w:color w:val="auto"/>
              </w:rPr>
              <w:t>common shares into</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1"/>
                <w:szCs w:val="11"/>
                <w:color w:val="auto"/>
              </w:rPr>
              <w:t>Class A common</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1"/>
                <w:szCs w:val="11"/>
                <w:color w:val="auto"/>
              </w:rPr>
              <w:t>shares and Class B</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common shares</w:t>
            </w:r>
          </w:p>
        </w:tc>
        <w:tc>
          <w:tcPr>
            <w:tcW w:w="3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rPr>
              <w:t>15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(483,310,373)</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332,719,166</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150,591,207</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10</w:t>
            </w: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5"/>
        </w:trPr>
        <w:tc>
          <w:tcPr>
            <w:tcW w:w="1180" w:type="dxa"/>
            <w:vAlign w:val="bottom"/>
          </w:tcPr>
          <w:p>
            <w:pPr>
              <w:spacing w:after="0" w:line="105" w:lineRule="exact"/>
              <w:rPr>
                <w:sz w:val="20"/>
                <w:szCs w:val="20"/>
                <w:color w:val="auto"/>
              </w:rPr>
            </w:pPr>
            <w:r>
              <w:rPr>
                <w:rFonts w:ascii="Times New Roman" w:cs="Times New Roman" w:eastAsia="Times New Roman" w:hAnsi="Times New Roman"/>
                <w:sz w:val="11"/>
                <w:szCs w:val="11"/>
                <w:color w:val="auto"/>
              </w:rPr>
              <w:t>Conversion and</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80" w:type="dxa"/>
            <w:vAlign w:val="bottom"/>
          </w:tcPr>
          <w:p>
            <w:pPr>
              <w:ind w:left="120"/>
              <w:spacing w:after="0" w:line="121" w:lineRule="exact"/>
              <w:rPr>
                <w:sz w:val="20"/>
                <w:szCs w:val="20"/>
                <w:color w:val="auto"/>
              </w:rPr>
            </w:pPr>
            <w:r>
              <w:rPr>
                <w:rFonts w:ascii="Times New Roman" w:cs="Times New Roman" w:eastAsia="Times New Roman" w:hAnsi="Times New Roman"/>
                <w:sz w:val="11"/>
                <w:szCs w:val="11"/>
                <w:color w:val="auto"/>
              </w:rPr>
              <w:t>re-designation of</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Pr>
          <w:p>
            <w:pPr>
              <w:ind w:left="120"/>
              <w:spacing w:after="0" w:line="121" w:lineRule="exact"/>
              <w:rPr>
                <w:sz w:val="20"/>
                <w:szCs w:val="20"/>
                <w:color w:val="auto"/>
              </w:rPr>
            </w:pPr>
            <w:r>
              <w:rPr>
                <w:rFonts w:ascii="Times New Roman" w:cs="Times New Roman" w:eastAsia="Times New Roman" w:hAnsi="Times New Roman"/>
                <w:sz w:val="11"/>
                <w:szCs w:val="11"/>
                <w:color w:val="auto"/>
              </w:rPr>
              <w:t>redeemable preferred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Pr>
          <w:p>
            <w:pPr>
              <w:ind w:left="120"/>
              <w:spacing w:after="0" w:line="121" w:lineRule="exact"/>
              <w:rPr>
                <w:sz w:val="20"/>
                <w:szCs w:val="20"/>
                <w:color w:val="auto"/>
              </w:rPr>
            </w:pPr>
            <w:r>
              <w:rPr>
                <w:rFonts w:ascii="Times New Roman" w:cs="Times New Roman" w:eastAsia="Times New Roman" w:hAnsi="Times New Roman"/>
                <w:sz w:val="11"/>
                <w:szCs w:val="11"/>
                <w:color w:val="auto"/>
              </w:rPr>
              <w:t>shares into Class A</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common shares</w:t>
            </w:r>
          </w:p>
        </w:tc>
        <w:tc>
          <w:tcPr>
            <w:tcW w:w="3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16</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450,046,220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1"/>
                <w:szCs w:val="11"/>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458,870</w:t>
            </w:r>
          </w:p>
        </w:tc>
        <w:tc>
          <w:tcPr>
            <w:tcW w:w="140" w:type="dxa"/>
            <w:vAlign w:val="bottom"/>
          </w:tcPr>
          <w:p>
            <w:pPr>
              <w:spacing w:after="0"/>
              <w:rPr>
                <w:sz w:val="11"/>
                <w:szCs w:val="11"/>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458,901</w:t>
            </w:r>
          </w:p>
        </w:tc>
        <w:tc>
          <w:tcPr>
            <w:tcW w:w="0" w:type="dxa"/>
            <w:vAlign w:val="bottom"/>
          </w:tcPr>
          <w:p>
            <w:pPr>
              <w:spacing w:after="0"/>
              <w:rPr>
                <w:sz w:val="1"/>
                <w:szCs w:val="1"/>
                <w:color w:val="auto"/>
              </w:rPr>
            </w:pPr>
          </w:p>
        </w:tc>
      </w:tr>
      <w:tr>
        <w:trPr>
          <w:trHeight w:val="105"/>
        </w:trPr>
        <w:tc>
          <w:tcPr>
            <w:tcW w:w="118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1"/>
                <w:szCs w:val="11"/>
                <w:color w:val="auto"/>
              </w:rPr>
              <w:t>Repurchase of Class A</w:t>
            </w:r>
          </w:p>
        </w:tc>
        <w:tc>
          <w:tcPr>
            <w:tcW w:w="3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common shares</w:t>
            </w:r>
          </w:p>
        </w:tc>
        <w:tc>
          <w:tcPr>
            <w:tcW w:w="3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rPr>
              <w:t>15</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94"/>
              </w:rPr>
              <w:t>896,180</w:t>
            </w:r>
          </w:p>
        </w:tc>
        <w:tc>
          <w:tcPr>
            <w:tcW w:w="620" w:type="dxa"/>
            <w:vAlign w:val="bottom"/>
            <w:gridSpan w:val="3"/>
            <w:shd w:val="clear" w:color="auto" w:fill="CCEEFF"/>
          </w:tcPr>
          <w:p>
            <w:pPr>
              <w:jc w:val="center"/>
              <w:ind w:left="64"/>
              <w:spacing w:after="0"/>
              <w:rPr>
                <w:sz w:val="20"/>
                <w:szCs w:val="20"/>
                <w:color w:val="auto"/>
              </w:rPr>
            </w:pPr>
            <w:r>
              <w:rPr>
                <w:rFonts w:ascii="Times New Roman" w:cs="Times New Roman" w:eastAsia="Times New Roman" w:hAnsi="Times New Roman"/>
                <w:sz w:val="11"/>
                <w:szCs w:val="11"/>
                <w:color w:val="auto"/>
              </w:rPr>
              <w:t>(2,063)</w:t>
            </w: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(2,063)</w:t>
            </w:r>
          </w:p>
        </w:tc>
        <w:tc>
          <w:tcPr>
            <w:tcW w:w="0" w:type="dxa"/>
            <w:vAlign w:val="bottom"/>
          </w:tcPr>
          <w:p>
            <w:pPr>
              <w:spacing w:after="0"/>
              <w:rPr>
                <w:sz w:val="1"/>
                <w:szCs w:val="1"/>
                <w:color w:val="auto"/>
              </w:rPr>
            </w:pPr>
          </w:p>
        </w:tc>
      </w:tr>
      <w:tr>
        <w:trPr>
          <w:trHeight w:val="105"/>
        </w:trPr>
        <w:tc>
          <w:tcPr>
            <w:tcW w:w="1180" w:type="dxa"/>
            <w:vAlign w:val="bottom"/>
          </w:tcPr>
          <w:p>
            <w:pPr>
              <w:spacing w:after="0" w:line="105" w:lineRule="exact"/>
              <w:rPr>
                <w:sz w:val="20"/>
                <w:szCs w:val="20"/>
                <w:color w:val="auto"/>
              </w:rPr>
            </w:pPr>
            <w:r>
              <w:rPr>
                <w:rFonts w:ascii="Times New Roman" w:cs="Times New Roman" w:eastAsia="Times New Roman" w:hAnsi="Times New Roman"/>
                <w:sz w:val="11"/>
                <w:szCs w:val="11"/>
                <w:color w:val="auto"/>
              </w:rPr>
              <w:t>Shares issued upon</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exercise of option</w:t>
            </w:r>
          </w:p>
        </w:tc>
        <w:tc>
          <w:tcPr>
            <w:tcW w:w="3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17</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188,100</w:t>
            </w:r>
          </w:p>
        </w:tc>
        <w:tc>
          <w:tcPr>
            <w:tcW w:w="8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503</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503</w:t>
            </w:r>
          </w:p>
        </w:tc>
        <w:tc>
          <w:tcPr>
            <w:tcW w:w="0" w:type="dxa"/>
            <w:vAlign w:val="bottom"/>
          </w:tcPr>
          <w:p>
            <w:pPr>
              <w:spacing w:after="0"/>
              <w:rPr>
                <w:sz w:val="1"/>
                <w:szCs w:val="1"/>
                <w:color w:val="auto"/>
              </w:rPr>
            </w:pPr>
          </w:p>
        </w:tc>
      </w:tr>
      <w:tr>
        <w:trPr>
          <w:trHeight w:val="105"/>
        </w:trPr>
        <w:tc>
          <w:tcPr>
            <w:tcW w:w="118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1"/>
                <w:szCs w:val="11"/>
                <w:color w:val="auto"/>
              </w:rPr>
              <w:t>Share-based payment</w:t>
            </w:r>
          </w:p>
        </w:tc>
        <w:tc>
          <w:tcPr>
            <w:tcW w:w="3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compensation</w:t>
            </w:r>
          </w:p>
        </w:tc>
        <w:tc>
          <w:tcPr>
            <w:tcW w:w="3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rPr>
              <w:t>17</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35,880</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35,880</w:t>
            </w:r>
          </w:p>
        </w:tc>
        <w:tc>
          <w:tcPr>
            <w:tcW w:w="0" w:type="dxa"/>
            <w:vAlign w:val="bottom"/>
          </w:tcPr>
          <w:p>
            <w:pPr>
              <w:spacing w:after="0"/>
              <w:rPr>
                <w:sz w:val="1"/>
                <w:szCs w:val="1"/>
                <w:color w:val="auto"/>
              </w:rPr>
            </w:pPr>
          </w:p>
        </w:tc>
      </w:tr>
      <w:tr>
        <w:trPr>
          <w:trHeight w:val="105"/>
        </w:trPr>
        <w:tc>
          <w:tcPr>
            <w:tcW w:w="1180" w:type="dxa"/>
            <w:vAlign w:val="bottom"/>
          </w:tcPr>
          <w:p>
            <w:pPr>
              <w:spacing w:after="0" w:line="105" w:lineRule="exact"/>
              <w:rPr>
                <w:sz w:val="20"/>
                <w:szCs w:val="20"/>
                <w:color w:val="auto"/>
              </w:rPr>
            </w:pPr>
            <w:r>
              <w:rPr>
                <w:rFonts w:ascii="Times New Roman" w:cs="Times New Roman" w:eastAsia="Times New Roman" w:hAnsi="Times New Roman"/>
                <w:sz w:val="11"/>
                <w:szCs w:val="11"/>
                <w:color w:val="auto"/>
              </w:rPr>
              <w:t>Redeemable preferred</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80" w:type="dxa"/>
            <w:vAlign w:val="bottom"/>
          </w:tcPr>
          <w:p>
            <w:pPr>
              <w:ind w:left="120"/>
              <w:spacing w:after="0" w:line="121" w:lineRule="exact"/>
              <w:rPr>
                <w:sz w:val="20"/>
                <w:szCs w:val="20"/>
                <w:color w:val="auto"/>
              </w:rPr>
            </w:pPr>
            <w:r>
              <w:rPr>
                <w:rFonts w:ascii="Times New Roman" w:cs="Times New Roman" w:eastAsia="Times New Roman" w:hAnsi="Times New Roman"/>
                <w:sz w:val="11"/>
                <w:szCs w:val="11"/>
                <w:color w:val="auto"/>
              </w:rPr>
              <w:t>shares redemption</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value accretion</w:t>
            </w:r>
          </w:p>
        </w:tc>
        <w:tc>
          <w:tcPr>
            <w:tcW w:w="3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16</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(4,274)</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(4,274)</w:t>
            </w:r>
          </w:p>
        </w:tc>
        <w:tc>
          <w:tcPr>
            <w:tcW w:w="0" w:type="dxa"/>
            <w:vAlign w:val="bottom"/>
          </w:tcPr>
          <w:p>
            <w:pPr>
              <w:spacing w:after="0"/>
              <w:rPr>
                <w:sz w:val="1"/>
                <w:szCs w:val="1"/>
                <w:color w:val="auto"/>
              </w:rPr>
            </w:pPr>
          </w:p>
        </w:tc>
      </w:tr>
      <w:tr>
        <w:trPr>
          <w:trHeight w:val="105"/>
        </w:trPr>
        <w:tc>
          <w:tcPr>
            <w:tcW w:w="118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1"/>
                <w:szCs w:val="11"/>
                <w:color w:val="auto"/>
              </w:rPr>
              <w:t>Foreign currency</w:t>
            </w:r>
          </w:p>
        </w:tc>
        <w:tc>
          <w:tcPr>
            <w:tcW w:w="3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translation</w:t>
            </w:r>
          </w:p>
        </w:tc>
        <w:tc>
          <w:tcPr>
            <w:tcW w:w="3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(22,386)</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(22,386)</w:t>
            </w:r>
          </w:p>
        </w:tc>
        <w:tc>
          <w:tcPr>
            <w:tcW w:w="0" w:type="dxa"/>
            <w:vAlign w:val="bottom"/>
          </w:tcPr>
          <w:p>
            <w:pPr>
              <w:spacing w:after="0"/>
              <w:rPr>
                <w:sz w:val="1"/>
                <w:szCs w:val="1"/>
                <w:color w:val="auto"/>
              </w:rPr>
            </w:pPr>
          </w:p>
        </w:tc>
      </w:tr>
      <w:tr>
        <w:trPr>
          <w:trHeight w:val="107"/>
        </w:trPr>
        <w:tc>
          <w:tcPr>
            <w:tcW w:w="1180" w:type="dxa"/>
            <w:vAlign w:val="bottom"/>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3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18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2020</w:t>
            </w:r>
          </w:p>
        </w:tc>
        <w:tc>
          <w:tcPr>
            <w:tcW w:w="30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889,402,546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150,591,207</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10</w:t>
            </w:r>
          </w:p>
        </w:tc>
        <w:tc>
          <w:tcPr>
            <w:tcW w:w="40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4"/>
              </w:rPr>
              <w:t>896,180</w:t>
            </w:r>
          </w:p>
        </w:tc>
        <w:tc>
          <w:tcPr>
            <w:tcW w:w="620" w:type="dxa"/>
            <w:vAlign w:val="bottom"/>
            <w:gridSpan w:val="3"/>
          </w:tcPr>
          <w:p>
            <w:pPr>
              <w:jc w:val="center"/>
              <w:ind w:left="64"/>
              <w:spacing w:after="0"/>
              <w:rPr>
                <w:sz w:val="20"/>
                <w:szCs w:val="20"/>
                <w:color w:val="auto"/>
              </w:rPr>
            </w:pPr>
            <w:r>
              <w:rPr>
                <w:rFonts w:ascii="Times New Roman" w:cs="Times New Roman" w:eastAsia="Times New Roman" w:hAnsi="Times New Roman"/>
                <w:sz w:val="11"/>
                <w:szCs w:val="11"/>
                <w:color w:val="auto"/>
              </w:rPr>
              <w:t>(2,063)</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884,920</w:t>
            </w:r>
          </w:p>
        </w:tc>
        <w:tc>
          <w:tcPr>
            <w:tcW w:w="140" w:type="dxa"/>
            <w:vAlign w:val="bottom"/>
          </w:tcPr>
          <w:p>
            <w:pPr>
              <w:spacing w:after="0"/>
              <w:rPr>
                <w:sz w:val="12"/>
                <w:szCs w:val="12"/>
                <w:color w:val="auto"/>
              </w:rPr>
            </w:pP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(21,972)</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(392,274)</w:t>
            </w:r>
          </w:p>
        </w:tc>
        <w:tc>
          <w:tcPr>
            <w:tcW w:w="5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468,683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F-9</w:t>
      </w:r>
    </w:p>
    <w:p>
      <w:pPr>
        <w:sectPr>
          <w:pgSz w:w="11900" w:h="16838" w:orient="portrait"/>
          <w:cols w:equalWidth="0" w:num="1">
            <w:col w:w="10540"/>
          </w:cols>
          <w:pgMar w:left="320" w:top="447" w:right="10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SHAREHOLDERS’ (DEFICIT)/EQUITY</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FOR THE YEARS ENDED DECEMBER 31, 2020, 2021 AND 2022</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Non-</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4"/>
        </w:trPr>
        <w:tc>
          <w:tcPr>
            <w:tcW w:w="1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86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b w:val="1"/>
                <w:bCs w:val="1"/>
                <w:color w:val="auto"/>
              </w:rPr>
              <w:t>other</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4"/>
          </w:tcPr>
          <w:p>
            <w:pPr>
              <w:ind w:left="140"/>
              <w:spacing w:after="0" w:line="121" w:lineRule="exact"/>
              <w:rPr>
                <w:sz w:val="20"/>
                <w:szCs w:val="20"/>
                <w:color w:val="auto"/>
              </w:rPr>
            </w:pPr>
            <w:r>
              <w:rPr>
                <w:rFonts w:ascii="Times New Roman" w:cs="Times New Roman" w:eastAsia="Times New Roman" w:hAnsi="Times New Roman"/>
                <w:sz w:val="11"/>
                <w:szCs w:val="11"/>
                <w:b w:val="1"/>
                <w:bCs w:val="1"/>
                <w:color w:val="auto"/>
              </w:rPr>
              <w:t>Class A Common</w:t>
            </w:r>
          </w:p>
        </w:tc>
        <w:tc>
          <w:tcPr>
            <w:tcW w:w="1180" w:type="dxa"/>
            <w:vAlign w:val="bottom"/>
            <w:gridSpan w:val="4"/>
          </w:tcPr>
          <w:p>
            <w:pPr>
              <w:ind w:left="120"/>
              <w:spacing w:after="0" w:line="121" w:lineRule="exact"/>
              <w:rPr>
                <w:sz w:val="20"/>
                <w:szCs w:val="20"/>
                <w:color w:val="auto"/>
              </w:rPr>
            </w:pPr>
            <w:r>
              <w:rPr>
                <w:rFonts w:ascii="Times New Roman" w:cs="Times New Roman" w:eastAsia="Times New Roman" w:hAnsi="Times New Roman"/>
                <w:sz w:val="11"/>
                <w:szCs w:val="11"/>
                <w:b w:val="1"/>
                <w:bCs w:val="1"/>
                <w:color w:val="auto"/>
              </w:rPr>
              <w:t>Class B Common</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80"/>
              <w:spacing w:after="0" w:line="121" w:lineRule="exact"/>
              <w:rPr>
                <w:sz w:val="20"/>
                <w:szCs w:val="20"/>
                <w:color w:val="auto"/>
              </w:rPr>
            </w:pPr>
            <w:r>
              <w:rPr>
                <w:rFonts w:ascii="Times New Roman" w:cs="Times New Roman" w:eastAsia="Times New Roman" w:hAnsi="Times New Roman"/>
                <w:sz w:val="11"/>
                <w:szCs w:val="11"/>
                <w:b w:val="1"/>
                <w:bCs w:val="1"/>
                <w:color w:val="auto"/>
              </w:rPr>
              <w:t>paid-in</w:t>
            </w:r>
          </w:p>
        </w:tc>
        <w:tc>
          <w:tcPr>
            <w:tcW w:w="860" w:type="dxa"/>
            <w:vAlign w:val="bottom"/>
            <w:gridSpan w:val="2"/>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780" w:type="dxa"/>
            <w:vAlign w:val="bottom"/>
            <w:gridSpan w:val="2"/>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80" w:type="dxa"/>
            <w:vAlign w:val="bottom"/>
            <w:gridSpan w:val="2"/>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w w:val="99"/>
              </w:rPr>
              <w:t>Controlling</w:t>
            </w:r>
          </w:p>
        </w:tc>
        <w:tc>
          <w:tcPr>
            <w:tcW w:w="780" w:type="dxa"/>
            <w:vAlign w:val="bottom"/>
            <w:gridSpan w:val="2"/>
          </w:tcPr>
          <w:p>
            <w:pPr>
              <w:jc w:val="center"/>
              <w:ind w:right="80"/>
              <w:spacing w:after="0" w:line="121"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127"/>
        </w:trPr>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0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w w:val="93"/>
              </w:rPr>
              <w:t>shares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(deficit)/equity</w:t>
            </w:r>
          </w:p>
        </w:tc>
        <w:tc>
          <w:tcPr>
            <w:tcW w:w="0" w:type="dxa"/>
            <w:vAlign w:val="bottom"/>
          </w:tcPr>
          <w:p>
            <w:pPr>
              <w:spacing w:after="0"/>
              <w:rPr>
                <w:sz w:val="1"/>
                <w:szCs w:val="1"/>
                <w:color w:val="auto"/>
              </w:rPr>
            </w:pPr>
          </w:p>
        </w:tc>
      </w:tr>
      <w:tr>
        <w:trPr>
          <w:trHeight w:val="121"/>
        </w:trPr>
        <w:tc>
          <w:tcPr>
            <w:tcW w:w="1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0"/>
                <w:szCs w:val="10"/>
                <w:color w:val="auto"/>
              </w:rPr>
            </w:pPr>
          </w:p>
        </w:tc>
        <w:tc>
          <w:tcPr>
            <w:tcW w:w="40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00" w:type="dxa"/>
            <w:vAlign w:val="bottom"/>
          </w:tcPr>
          <w:p>
            <w:pPr>
              <w:spacing w:after="0"/>
              <w:rPr>
                <w:sz w:val="10"/>
                <w:szCs w:val="10"/>
                <w:color w:val="auto"/>
              </w:rPr>
            </w:pPr>
          </w:p>
        </w:tc>
        <w:tc>
          <w:tcPr>
            <w:tcW w:w="700" w:type="dxa"/>
            <w:vAlign w:val="bottom"/>
            <w:gridSpan w:val="2"/>
          </w:tcPr>
          <w:p>
            <w:pPr>
              <w:jc w:val="right"/>
              <w:ind w:right="240"/>
              <w:spacing w:after="0" w:line="121" w:lineRule="exact"/>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700" w:type="dxa"/>
            <w:vAlign w:val="bottom"/>
            <w:gridSpan w:val="2"/>
          </w:tcPr>
          <w:p>
            <w:pPr>
              <w:ind w:left="140"/>
              <w:spacing w:after="0" w:line="121" w:lineRule="exact"/>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500" w:type="dxa"/>
            <w:vAlign w:val="bottom"/>
          </w:tcPr>
          <w:p>
            <w:pPr>
              <w:jc w:val="right"/>
              <w:ind w:right="24"/>
              <w:spacing w:after="0" w:line="121"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0"/>
                <w:szCs w:val="10"/>
                <w:color w:val="auto"/>
              </w:rPr>
            </w:pPr>
          </w:p>
        </w:tc>
        <w:tc>
          <w:tcPr>
            <w:tcW w:w="52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rPr>
              <w:t>Amount</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RMB</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RMB</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RMB</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RMB</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RMB</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RMB</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RMB</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RMB</w:t>
            </w:r>
          </w:p>
        </w:tc>
        <w:tc>
          <w:tcPr>
            <w:tcW w:w="0" w:type="dxa"/>
            <w:vAlign w:val="bottom"/>
          </w:tcPr>
          <w:p>
            <w:pPr>
              <w:spacing w:after="0"/>
              <w:rPr>
                <w:sz w:val="1"/>
                <w:szCs w:val="1"/>
                <w:color w:val="auto"/>
              </w:rPr>
            </w:pPr>
          </w:p>
        </w:tc>
      </w:tr>
      <w:tr>
        <w:trPr>
          <w:trHeight w:val="121"/>
        </w:trPr>
        <w:tc>
          <w:tcPr>
            <w:tcW w:w="14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Balance at January 1, 2021</w:t>
            </w:r>
          </w:p>
        </w:tc>
        <w:tc>
          <w:tcPr>
            <w:tcW w:w="260" w:type="dxa"/>
            <w:vAlign w:val="bottom"/>
            <w:shd w:val="clear" w:color="auto" w:fill="CCEEFF"/>
          </w:tcPr>
          <w:p>
            <w:pPr>
              <w:spacing w:after="0"/>
              <w:rPr>
                <w:sz w:val="10"/>
                <w:szCs w:val="10"/>
                <w:color w:val="auto"/>
              </w:rPr>
            </w:pPr>
          </w:p>
        </w:tc>
        <w:tc>
          <w:tcPr>
            <w:tcW w:w="340" w:type="dxa"/>
            <w:vAlign w:val="bottom"/>
            <w:shd w:val="clear" w:color="auto" w:fill="CCEEFF"/>
          </w:tcPr>
          <w:p>
            <w:pPr>
              <w:ind w:left="1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21"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889,402,546</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62</w:t>
            </w:r>
          </w:p>
        </w:tc>
        <w:tc>
          <w:tcPr>
            <w:tcW w:w="600" w:type="dxa"/>
            <w:vAlign w:val="bottom"/>
            <w:shd w:val="clear" w:color="auto" w:fill="CCEEFF"/>
          </w:tcPr>
          <w:p>
            <w:pPr>
              <w:ind w:left="40"/>
              <w:spacing w:after="0" w:line="121" w:lineRule="exact"/>
              <w:rPr>
                <w:sz w:val="20"/>
                <w:szCs w:val="20"/>
                <w:color w:val="auto"/>
              </w:rPr>
            </w:pPr>
            <w:r>
              <w:rPr>
                <w:rFonts w:ascii="Times New Roman" w:cs="Times New Roman" w:eastAsia="Times New Roman" w:hAnsi="Times New Roman"/>
                <w:sz w:val="11"/>
                <w:szCs w:val="11"/>
                <w:color w:val="auto"/>
                <w:w w:val="98"/>
              </w:rPr>
              <w:t>150,591,207</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80"/>
              <w:spacing w:after="0" w:line="121" w:lineRule="exact"/>
              <w:rPr>
                <w:sz w:val="20"/>
                <w:szCs w:val="20"/>
                <w:color w:val="auto"/>
              </w:rPr>
            </w:pPr>
            <w:r>
              <w:rPr>
                <w:rFonts w:ascii="Times New Roman" w:cs="Times New Roman" w:eastAsia="Times New Roman" w:hAnsi="Times New Roman"/>
                <w:sz w:val="11"/>
                <w:szCs w:val="11"/>
                <w:color w:val="auto"/>
              </w:rPr>
              <w:t>10</w:t>
            </w: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896,180</w:t>
            </w:r>
          </w:p>
        </w:tc>
        <w:tc>
          <w:tcPr>
            <w:tcW w:w="620" w:type="dxa"/>
            <w:vAlign w:val="bottom"/>
            <w:gridSpan w:val="3"/>
            <w:shd w:val="clear" w:color="auto" w:fill="CCEEFF"/>
          </w:tcPr>
          <w:p>
            <w:pPr>
              <w:jc w:val="center"/>
              <w:ind w:left="64"/>
              <w:spacing w:after="0" w:line="121" w:lineRule="exact"/>
              <w:rPr>
                <w:sz w:val="20"/>
                <w:szCs w:val="20"/>
                <w:color w:val="auto"/>
              </w:rPr>
            </w:pPr>
            <w:r>
              <w:rPr>
                <w:rFonts w:ascii="Times New Roman" w:cs="Times New Roman" w:eastAsia="Times New Roman" w:hAnsi="Times New Roman"/>
                <w:sz w:val="11"/>
                <w:szCs w:val="11"/>
                <w:color w:val="auto"/>
              </w:rPr>
              <w:t>(2,063)</w:t>
            </w: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884,920</w:t>
            </w: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(21,972)</w:t>
            </w:r>
          </w:p>
        </w:tc>
        <w:tc>
          <w:tcPr>
            <w:tcW w:w="780" w:type="dxa"/>
            <w:vAlign w:val="bottom"/>
            <w:gridSpan w:val="2"/>
            <w:shd w:val="clear" w:color="auto" w:fill="CCEEFF"/>
          </w:tcPr>
          <w:p>
            <w:pPr>
              <w:ind w:left="240"/>
              <w:spacing w:after="0" w:line="121" w:lineRule="exact"/>
              <w:rPr>
                <w:sz w:val="20"/>
                <w:szCs w:val="20"/>
                <w:color w:val="auto"/>
              </w:rPr>
            </w:pPr>
            <w:r>
              <w:rPr>
                <w:rFonts w:ascii="Times New Roman" w:cs="Times New Roman" w:eastAsia="Times New Roman" w:hAnsi="Times New Roman"/>
                <w:sz w:val="11"/>
                <w:szCs w:val="11"/>
                <w:color w:val="auto"/>
              </w:rPr>
              <w:t>(392,274)</w:t>
            </w:r>
          </w:p>
        </w:tc>
        <w:tc>
          <w:tcPr>
            <w:tcW w:w="680" w:type="dxa"/>
            <w:vAlign w:val="bottom"/>
            <w:gridSpan w:val="2"/>
            <w:shd w:val="clear" w:color="auto" w:fill="CCEEFF"/>
          </w:tcPr>
          <w:p>
            <w:pPr>
              <w:ind w:left="380"/>
              <w:spacing w:after="0" w:line="121"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80"/>
              <w:spacing w:after="0" w:line="121" w:lineRule="exact"/>
              <w:rPr>
                <w:sz w:val="20"/>
                <w:szCs w:val="20"/>
                <w:color w:val="auto"/>
              </w:rPr>
            </w:pPr>
            <w:r>
              <w:rPr>
                <w:rFonts w:ascii="Times New Roman" w:cs="Times New Roman" w:eastAsia="Times New Roman" w:hAnsi="Times New Roman"/>
                <w:sz w:val="11"/>
                <w:szCs w:val="11"/>
                <w:color w:val="auto"/>
              </w:rPr>
              <w:t>468,683</w:t>
            </w:r>
          </w:p>
        </w:tc>
        <w:tc>
          <w:tcPr>
            <w:tcW w:w="0" w:type="dxa"/>
            <w:vAlign w:val="bottom"/>
          </w:tcPr>
          <w:p>
            <w:pPr>
              <w:spacing w:after="0"/>
              <w:rPr>
                <w:sz w:val="1"/>
                <w:szCs w:val="1"/>
                <w:color w:val="auto"/>
              </w:rPr>
            </w:pPr>
          </w:p>
        </w:tc>
      </w:tr>
      <w:tr>
        <w:trPr>
          <w:trHeight w:val="125"/>
        </w:trPr>
        <w:tc>
          <w:tcPr>
            <w:tcW w:w="144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Net loss for the year</w:t>
            </w:r>
          </w:p>
        </w:tc>
        <w:tc>
          <w:tcPr>
            <w:tcW w:w="260" w:type="dxa"/>
            <w:vAlign w:val="bottom"/>
          </w:tcPr>
          <w:p>
            <w:pPr>
              <w:spacing w:after="0"/>
              <w:rPr>
                <w:sz w:val="10"/>
                <w:szCs w:val="10"/>
                <w:color w:val="auto"/>
              </w:rPr>
            </w:pPr>
          </w:p>
        </w:tc>
        <w:tc>
          <w:tcPr>
            <w:tcW w:w="340" w:type="dxa"/>
            <w:vAlign w:val="bottom"/>
            <w:tcBorders>
              <w:top w:val="single" w:sz="8" w:color="auto"/>
            </w:tcBorders>
          </w:tcPr>
          <w:p>
            <w:pPr>
              <w:ind w:left="1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0" w:type="dxa"/>
            <w:vAlign w:val="bottom"/>
            <w:tcBorders>
              <w:top w:val="single" w:sz="8" w:color="auto"/>
            </w:tcBorders>
          </w:tcPr>
          <w:p>
            <w:pPr>
              <w:ind w:left="2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0" w:type="dxa"/>
            <w:vAlign w:val="bottom"/>
            <w:tcBorders>
              <w:top w:val="single" w:sz="8" w:color="auto"/>
            </w:tcBorders>
          </w:tcPr>
          <w:p>
            <w:pPr>
              <w:jc w:val="right"/>
              <w:ind w:right="4"/>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Borders>
              <w:top w:val="single" w:sz="8" w:color="auto"/>
            </w:tcBorders>
          </w:tcPr>
          <w:p>
            <w:pPr>
              <w:ind w:left="2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0" w:type="dxa"/>
            <w:vAlign w:val="bottom"/>
            <w:tcBorders>
              <w:top w:val="single" w:sz="8" w:color="auto"/>
            </w:tcBorders>
          </w:tcPr>
          <w:p>
            <w:pPr>
              <w:ind w:left="42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Borders>
              <w:top w:val="single" w:sz="8" w:color="auto"/>
            </w:tcBorders>
          </w:tcPr>
          <w:p>
            <w:pPr>
              <w:ind w:left="22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00" w:type="dxa"/>
            <w:vAlign w:val="bottom"/>
            <w:tcBorders>
              <w:top w:val="single" w:sz="8" w:color="auto"/>
            </w:tcBorders>
          </w:tcPr>
          <w:p>
            <w:pPr>
              <w:jc w:val="right"/>
              <w:ind w:right="4"/>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Borders>
              <w:top w:val="single" w:sz="8" w:color="auto"/>
            </w:tcBorders>
          </w:tcPr>
          <w:p>
            <w:pPr>
              <w:jc w:val="center"/>
              <w:ind w:left="104"/>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20" w:type="dxa"/>
            <w:vAlign w:val="bottom"/>
            <w:tcBorders>
              <w:top w:val="single" w:sz="8" w:color="auto"/>
            </w:tcBorders>
          </w:tcPr>
          <w:p>
            <w:pPr>
              <w:ind w:left="3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tcBorders>
              <w:top w:val="single" w:sz="8" w:color="auto"/>
            </w:tcBorders>
          </w:tcPr>
          <w:p>
            <w:pPr>
              <w:ind w:left="5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tcBorders>
              <w:top w:val="single" w:sz="8" w:color="auto"/>
            </w:tcBorders>
          </w:tcPr>
          <w:p>
            <w:pPr>
              <w:ind w:left="240"/>
              <w:spacing w:after="0" w:line="125" w:lineRule="exact"/>
              <w:rPr>
                <w:sz w:val="20"/>
                <w:szCs w:val="20"/>
                <w:color w:val="auto"/>
              </w:rPr>
            </w:pPr>
            <w:r>
              <w:rPr>
                <w:rFonts w:ascii="Times New Roman" w:cs="Times New Roman" w:eastAsia="Times New Roman" w:hAnsi="Times New Roman"/>
                <w:sz w:val="11"/>
                <w:szCs w:val="11"/>
                <w:color w:val="auto"/>
                <w:w w:val="88"/>
              </w:rPr>
              <w:t>(107,666)</w:t>
            </w:r>
          </w:p>
        </w:tc>
        <w:tc>
          <w:tcPr>
            <w:tcW w:w="140" w:type="dxa"/>
            <w:vAlign w:val="bottom"/>
          </w:tcPr>
          <w:p>
            <w:pPr>
              <w:spacing w:after="0"/>
              <w:rPr>
                <w:sz w:val="10"/>
                <w:szCs w:val="10"/>
                <w:color w:val="auto"/>
              </w:rPr>
            </w:pPr>
          </w:p>
        </w:tc>
        <w:tc>
          <w:tcPr>
            <w:tcW w:w="5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0"/>
                <w:szCs w:val="10"/>
                <w:color w:val="auto"/>
                <w:w w:val="71"/>
              </w:rPr>
              <w:t>(51)</w:t>
            </w:r>
          </w:p>
        </w:tc>
        <w:tc>
          <w:tcPr>
            <w:tcW w:w="140" w:type="dxa"/>
            <w:vAlign w:val="bottom"/>
          </w:tcPr>
          <w:p>
            <w:pPr>
              <w:spacing w:after="0"/>
              <w:rPr>
                <w:sz w:val="10"/>
                <w:szCs w:val="10"/>
                <w:color w:val="auto"/>
              </w:rPr>
            </w:pPr>
          </w:p>
        </w:tc>
        <w:tc>
          <w:tcPr>
            <w:tcW w:w="7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(107,717)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44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1"/>
                <w:szCs w:val="11"/>
                <w:color w:val="auto"/>
              </w:rPr>
              <w:t>Repurchase of Class A</w:t>
            </w:r>
          </w:p>
        </w:tc>
        <w:tc>
          <w:tcPr>
            <w:tcW w:w="2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common shares</w:t>
            </w:r>
          </w:p>
        </w:tc>
        <w:tc>
          <w:tcPr>
            <w:tcW w:w="2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rPr>
              <w:t>15</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2,540,680</w:t>
            </w:r>
          </w:p>
        </w:tc>
        <w:tc>
          <w:tcPr>
            <w:tcW w:w="620" w:type="dxa"/>
            <w:vAlign w:val="bottom"/>
            <w:gridSpan w:val="3"/>
            <w:shd w:val="clear" w:color="auto" w:fill="CCEEFF"/>
          </w:tcPr>
          <w:p>
            <w:pPr>
              <w:jc w:val="center"/>
              <w:ind w:left="64"/>
              <w:spacing w:after="0"/>
              <w:rPr>
                <w:sz w:val="20"/>
                <w:szCs w:val="20"/>
                <w:color w:val="auto"/>
              </w:rPr>
            </w:pPr>
            <w:r>
              <w:rPr>
                <w:rFonts w:ascii="Times New Roman" w:cs="Times New Roman" w:eastAsia="Times New Roman" w:hAnsi="Times New Roman"/>
                <w:sz w:val="11"/>
                <w:szCs w:val="11"/>
                <w:color w:val="auto"/>
              </w:rPr>
              <w:t>(7,482)</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(7,482)</w:t>
            </w:r>
          </w:p>
        </w:tc>
        <w:tc>
          <w:tcPr>
            <w:tcW w:w="0" w:type="dxa"/>
            <w:vAlign w:val="bottom"/>
          </w:tcPr>
          <w:p>
            <w:pPr>
              <w:spacing w:after="0"/>
              <w:rPr>
                <w:sz w:val="1"/>
                <w:szCs w:val="1"/>
                <w:color w:val="auto"/>
              </w:rPr>
            </w:pPr>
          </w:p>
        </w:tc>
      </w:tr>
      <w:tr>
        <w:trPr>
          <w:trHeight w:val="105"/>
        </w:trPr>
        <w:tc>
          <w:tcPr>
            <w:tcW w:w="1440" w:type="dxa"/>
            <w:vAlign w:val="bottom"/>
          </w:tcPr>
          <w:p>
            <w:pPr>
              <w:spacing w:after="0" w:line="105" w:lineRule="exact"/>
              <w:rPr>
                <w:sz w:val="20"/>
                <w:szCs w:val="20"/>
                <w:color w:val="auto"/>
              </w:rPr>
            </w:pPr>
            <w:r>
              <w:rPr>
                <w:rFonts w:ascii="Times New Roman" w:cs="Times New Roman" w:eastAsia="Times New Roman" w:hAnsi="Times New Roman"/>
                <w:sz w:val="11"/>
                <w:szCs w:val="11"/>
                <w:color w:val="auto"/>
              </w:rPr>
              <w:t>Shares issued upon exercise of</w:t>
            </w: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4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option</w:t>
            </w:r>
          </w:p>
        </w:tc>
        <w:tc>
          <w:tcPr>
            <w:tcW w:w="2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17</w:t>
            </w:r>
          </w:p>
        </w:tc>
        <w:tc>
          <w:tcPr>
            <w:tcW w:w="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201,040</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497</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497</w:t>
            </w:r>
          </w:p>
        </w:tc>
        <w:tc>
          <w:tcPr>
            <w:tcW w:w="0" w:type="dxa"/>
            <w:vAlign w:val="bottom"/>
          </w:tcPr>
          <w:p>
            <w:pPr>
              <w:spacing w:after="0"/>
              <w:rPr>
                <w:sz w:val="1"/>
                <w:szCs w:val="1"/>
                <w:color w:val="auto"/>
              </w:rPr>
            </w:pPr>
          </w:p>
        </w:tc>
      </w:tr>
      <w:tr>
        <w:trPr>
          <w:trHeight w:val="105"/>
        </w:trPr>
        <w:tc>
          <w:tcPr>
            <w:tcW w:w="144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1"/>
                <w:szCs w:val="11"/>
                <w:color w:val="auto"/>
              </w:rPr>
              <w:t>Share-based payment</w:t>
            </w:r>
          </w:p>
        </w:tc>
        <w:tc>
          <w:tcPr>
            <w:tcW w:w="2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compensation</w:t>
            </w:r>
          </w:p>
        </w:tc>
        <w:tc>
          <w:tcPr>
            <w:tcW w:w="2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rPr>
              <w:t>17</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11,355</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11,355</w:t>
            </w:r>
          </w:p>
        </w:tc>
        <w:tc>
          <w:tcPr>
            <w:tcW w:w="0" w:type="dxa"/>
            <w:vAlign w:val="bottom"/>
          </w:tcPr>
          <w:p>
            <w:pPr>
              <w:spacing w:after="0"/>
              <w:rPr>
                <w:sz w:val="1"/>
                <w:szCs w:val="1"/>
                <w:color w:val="auto"/>
              </w:rPr>
            </w:pPr>
          </w:p>
        </w:tc>
      </w:tr>
      <w:tr>
        <w:trPr>
          <w:trHeight w:val="105"/>
        </w:trPr>
        <w:tc>
          <w:tcPr>
            <w:tcW w:w="1440" w:type="dxa"/>
            <w:vAlign w:val="bottom"/>
          </w:tcPr>
          <w:p>
            <w:pPr>
              <w:spacing w:after="0" w:line="105" w:lineRule="exact"/>
              <w:rPr>
                <w:sz w:val="20"/>
                <w:szCs w:val="20"/>
                <w:color w:val="auto"/>
              </w:rPr>
            </w:pPr>
            <w:r>
              <w:rPr>
                <w:rFonts w:ascii="Times New Roman" w:cs="Times New Roman" w:eastAsia="Times New Roman" w:hAnsi="Times New Roman"/>
                <w:sz w:val="11"/>
                <w:szCs w:val="11"/>
                <w:color w:val="auto"/>
              </w:rPr>
              <w:t>Set-up of subsidiaries with</w:t>
            </w: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4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non-controlling interests</w:t>
            </w:r>
          </w:p>
        </w:tc>
        <w:tc>
          <w:tcPr>
            <w:tcW w:w="260" w:type="dxa"/>
            <w:vAlign w:val="bottom"/>
          </w:tcPr>
          <w:p>
            <w:pPr>
              <w:spacing w:after="0"/>
              <w:rPr>
                <w:sz w:val="11"/>
                <w:szCs w:val="11"/>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900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900</w:t>
            </w:r>
          </w:p>
        </w:tc>
        <w:tc>
          <w:tcPr>
            <w:tcW w:w="0" w:type="dxa"/>
            <w:vAlign w:val="bottom"/>
          </w:tcPr>
          <w:p>
            <w:pPr>
              <w:spacing w:after="0"/>
              <w:rPr>
                <w:sz w:val="1"/>
                <w:szCs w:val="1"/>
                <w:color w:val="auto"/>
              </w:rPr>
            </w:pPr>
          </w:p>
        </w:tc>
      </w:tr>
      <w:tr>
        <w:trPr>
          <w:trHeight w:val="121"/>
        </w:trPr>
        <w:tc>
          <w:tcPr>
            <w:tcW w:w="14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260" w:type="dxa"/>
            <w:vAlign w:val="bottom"/>
            <w:shd w:val="clear" w:color="auto" w:fill="CCEEFF"/>
          </w:tcPr>
          <w:p>
            <w:pPr>
              <w:spacing w:after="0"/>
              <w:rPr>
                <w:sz w:val="10"/>
                <w:szCs w:val="10"/>
                <w:color w:val="auto"/>
              </w:rPr>
            </w:pPr>
          </w:p>
        </w:tc>
        <w:tc>
          <w:tcPr>
            <w:tcW w:w="340" w:type="dxa"/>
            <w:vAlign w:val="bottom"/>
            <w:shd w:val="clear" w:color="auto" w:fill="CCEEFF"/>
          </w:tcPr>
          <w:p>
            <w:pPr>
              <w:ind w:left="1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ind w:left="240"/>
              <w:spacing w:after="0" w:line="121"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ind w:left="420"/>
              <w:spacing w:after="0" w:line="121"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ind w:left="220"/>
              <w:spacing w:after="0" w:line="121"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4"/>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center"/>
              <w:spacing w:after="0" w:line="121"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ind w:left="3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(5,323)</w:t>
            </w:r>
          </w:p>
        </w:tc>
        <w:tc>
          <w:tcPr>
            <w:tcW w:w="780" w:type="dxa"/>
            <w:vAlign w:val="bottom"/>
            <w:gridSpan w:val="2"/>
            <w:shd w:val="clear" w:color="auto" w:fill="CCEEFF"/>
          </w:tcPr>
          <w:p>
            <w:pPr>
              <w:ind w:left="4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ind w:left="380"/>
              <w:spacing w:after="0" w:line="121"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40"/>
              <w:spacing w:after="0" w:line="121" w:lineRule="exact"/>
              <w:rPr>
                <w:sz w:val="20"/>
                <w:szCs w:val="20"/>
                <w:color w:val="auto"/>
              </w:rPr>
            </w:pPr>
            <w:r>
              <w:rPr>
                <w:rFonts w:ascii="Times New Roman" w:cs="Times New Roman" w:eastAsia="Times New Roman" w:hAnsi="Times New Roman"/>
                <w:sz w:val="11"/>
                <w:szCs w:val="11"/>
                <w:color w:val="auto"/>
              </w:rPr>
              <w:t>(5,323)</w:t>
            </w:r>
          </w:p>
        </w:tc>
        <w:tc>
          <w:tcPr>
            <w:tcW w:w="0" w:type="dxa"/>
            <w:vAlign w:val="bottom"/>
          </w:tcPr>
          <w:p>
            <w:pPr>
              <w:spacing w:after="0"/>
              <w:rPr>
                <w:sz w:val="1"/>
                <w:szCs w:val="1"/>
                <w:color w:val="auto"/>
              </w:rPr>
            </w:pPr>
          </w:p>
        </w:tc>
      </w:tr>
      <w:tr>
        <w:trPr>
          <w:trHeight w:val="107"/>
        </w:trPr>
        <w:tc>
          <w:tcPr>
            <w:tcW w:w="1440" w:type="dxa"/>
            <w:vAlign w:val="bottom"/>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Balance at December 31,</w:t>
            </w:r>
          </w:p>
        </w:tc>
        <w:tc>
          <w:tcPr>
            <w:tcW w:w="26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4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2021</w:t>
            </w:r>
          </w:p>
        </w:tc>
        <w:tc>
          <w:tcPr>
            <w:tcW w:w="260" w:type="dxa"/>
            <w:vAlign w:val="bottom"/>
          </w:tcPr>
          <w:p>
            <w:pPr>
              <w:spacing w:after="0"/>
              <w:rPr>
                <w:sz w:val="12"/>
                <w:szCs w:val="12"/>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889,603,586</w:t>
            </w:r>
          </w:p>
        </w:tc>
        <w:tc>
          <w:tcPr>
            <w:tcW w:w="10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62</w:t>
            </w:r>
          </w:p>
        </w:tc>
        <w:tc>
          <w:tcPr>
            <w:tcW w:w="60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8"/>
              </w:rPr>
              <w:t>150,591,207</w:t>
            </w:r>
          </w:p>
        </w:tc>
        <w:tc>
          <w:tcPr>
            <w:tcW w:w="10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3,436,860</w:t>
            </w:r>
          </w:p>
        </w:tc>
        <w:tc>
          <w:tcPr>
            <w:tcW w:w="620" w:type="dxa"/>
            <w:vAlign w:val="bottom"/>
            <w:gridSpan w:val="3"/>
          </w:tcPr>
          <w:p>
            <w:pPr>
              <w:jc w:val="center"/>
              <w:ind w:left="64"/>
              <w:spacing w:after="0"/>
              <w:rPr>
                <w:sz w:val="20"/>
                <w:szCs w:val="20"/>
                <w:color w:val="auto"/>
              </w:rPr>
            </w:pPr>
            <w:r>
              <w:rPr>
                <w:rFonts w:ascii="Times New Roman" w:cs="Times New Roman" w:eastAsia="Times New Roman" w:hAnsi="Times New Roman"/>
                <w:sz w:val="11"/>
                <w:szCs w:val="11"/>
                <w:color w:val="auto"/>
              </w:rPr>
              <w:t>(9,545)</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896,772</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(27,295)</w:t>
            </w: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(499,940)</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849</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360,913</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F-10</w:t>
      </w:r>
    </w:p>
    <w:p>
      <w:pPr>
        <w:sectPr>
          <w:pgSz w:w="11900" w:h="16838" w:orient="portrait"/>
          <w:cols w:equalWidth="0" w:num="1">
            <w:col w:w="10540"/>
          </w:cols>
          <w:pgMar w:left="320" w:top="447" w:right="10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SHAREHOLDERS’ (DEFICIT)/EQUITY</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FOR THE YEARS ENDED DECEMBER 31, 2020, 2021 AND 2022</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Non-</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4"/>
        </w:trPr>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9"/>
                <w:szCs w:val="9"/>
                <w:color w:val="auto"/>
              </w:rPr>
            </w:pPr>
          </w:p>
        </w:tc>
        <w:tc>
          <w:tcPr>
            <w:tcW w:w="86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b w:val="1"/>
                <w:bCs w:val="1"/>
                <w:color w:val="auto"/>
              </w:rPr>
              <w:t>other</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ind w:left="120"/>
              <w:spacing w:after="0" w:line="121" w:lineRule="exact"/>
              <w:rPr>
                <w:sz w:val="20"/>
                <w:szCs w:val="20"/>
                <w:color w:val="auto"/>
              </w:rPr>
            </w:pPr>
            <w:r>
              <w:rPr>
                <w:rFonts w:ascii="Times New Roman" w:cs="Times New Roman" w:eastAsia="Times New Roman" w:hAnsi="Times New Roman"/>
                <w:sz w:val="11"/>
                <w:szCs w:val="11"/>
                <w:b w:val="1"/>
                <w:bCs w:val="1"/>
                <w:color w:val="auto"/>
              </w:rPr>
              <w:t>Class A Common</w:t>
            </w:r>
          </w:p>
        </w:tc>
        <w:tc>
          <w:tcPr>
            <w:tcW w:w="1200" w:type="dxa"/>
            <w:vAlign w:val="bottom"/>
            <w:gridSpan w:val="4"/>
          </w:tcPr>
          <w:p>
            <w:pPr>
              <w:ind w:left="140"/>
              <w:spacing w:after="0" w:line="121" w:lineRule="exact"/>
              <w:rPr>
                <w:sz w:val="20"/>
                <w:szCs w:val="20"/>
                <w:color w:val="auto"/>
              </w:rPr>
            </w:pPr>
            <w:r>
              <w:rPr>
                <w:rFonts w:ascii="Times New Roman" w:cs="Times New Roman" w:eastAsia="Times New Roman" w:hAnsi="Times New Roman"/>
                <w:sz w:val="11"/>
                <w:szCs w:val="11"/>
                <w:b w:val="1"/>
                <w:bCs w:val="1"/>
                <w:color w:val="auto"/>
              </w:rPr>
              <w:t>Class B Common</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0"/>
                <w:szCs w:val="10"/>
                <w:color w:val="auto"/>
              </w:rPr>
            </w:pPr>
          </w:p>
        </w:tc>
        <w:tc>
          <w:tcPr>
            <w:tcW w:w="860" w:type="dxa"/>
            <w:vAlign w:val="bottom"/>
            <w:gridSpan w:val="2"/>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780" w:type="dxa"/>
            <w:vAlign w:val="bottom"/>
            <w:gridSpan w:val="2"/>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80" w:type="dxa"/>
            <w:vAlign w:val="bottom"/>
            <w:gridSpan w:val="2"/>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w w:val="99"/>
              </w:rPr>
              <w:t>Controlling</w:t>
            </w:r>
          </w:p>
        </w:tc>
        <w:tc>
          <w:tcPr>
            <w:tcW w:w="780" w:type="dxa"/>
            <w:vAlign w:val="bottom"/>
            <w:gridSpan w:val="2"/>
          </w:tcPr>
          <w:p>
            <w:pPr>
              <w:jc w:val="center"/>
              <w:ind w:right="80"/>
              <w:spacing w:after="0" w:line="121"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127"/>
        </w:trPr>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00" w:type="dxa"/>
            <w:vAlign w:val="bottom"/>
          </w:tcPr>
          <w:p>
            <w:pPr>
              <w:spacing w:after="0"/>
              <w:rPr>
                <w:sz w:val="11"/>
                <w:szCs w:val="11"/>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w w:val="93"/>
              </w:rPr>
              <w:t>shares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w w:val="93"/>
              </w:rPr>
              <w:t>shares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4"/>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1"/>
                <w:szCs w:val="11"/>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(deficit)/equity</w:t>
            </w: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color w:val="auto"/>
                <w:w w:val="94"/>
              </w:rPr>
              <w:t>Shares</w:t>
            </w:r>
          </w:p>
        </w:tc>
        <w:tc>
          <w:tcPr>
            <w:tcW w:w="100" w:type="dxa"/>
            <w:vAlign w:val="bottom"/>
          </w:tcPr>
          <w:p>
            <w:pPr>
              <w:spacing w:after="0"/>
              <w:rPr>
                <w:sz w:val="10"/>
                <w:szCs w:val="10"/>
                <w:color w:val="auto"/>
              </w:rPr>
            </w:pPr>
          </w:p>
        </w:tc>
        <w:tc>
          <w:tcPr>
            <w:tcW w:w="40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0"/>
                <w:szCs w:val="10"/>
                <w:color w:val="auto"/>
              </w:rPr>
            </w:pPr>
          </w:p>
        </w:tc>
        <w:tc>
          <w:tcPr>
            <w:tcW w:w="70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700" w:type="dxa"/>
            <w:vAlign w:val="bottom"/>
            <w:gridSpan w:val="2"/>
          </w:tcPr>
          <w:p>
            <w:pPr>
              <w:ind w:left="140"/>
              <w:spacing w:after="0" w:line="121" w:lineRule="exact"/>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64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rPr>
              <w:t>Amount</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RMB</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RMB</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RMB</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2"/>
                <w:szCs w:val="12"/>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RMB</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RMB</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RMB</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RMB</w:t>
            </w:r>
          </w:p>
        </w:tc>
        <w:tc>
          <w:tcPr>
            <w:tcW w:w="0" w:type="dxa"/>
            <w:vAlign w:val="bottom"/>
          </w:tcPr>
          <w:p>
            <w:pPr>
              <w:spacing w:after="0"/>
              <w:rPr>
                <w:sz w:val="1"/>
                <w:szCs w:val="1"/>
                <w:color w:val="auto"/>
              </w:rPr>
            </w:pPr>
          </w:p>
        </w:tc>
      </w:tr>
      <w:tr>
        <w:trPr>
          <w:trHeight w:val="121"/>
        </w:trPr>
        <w:tc>
          <w:tcPr>
            <w:tcW w:w="13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Balance at January 1, 2022</w:t>
            </w:r>
          </w:p>
        </w:tc>
        <w:tc>
          <w:tcPr>
            <w:tcW w:w="280" w:type="dxa"/>
            <w:vAlign w:val="bottom"/>
            <w:shd w:val="clear" w:color="auto" w:fill="CCEEFF"/>
          </w:tcPr>
          <w:p>
            <w:pPr>
              <w:spacing w:after="0"/>
              <w:rPr>
                <w:sz w:val="10"/>
                <w:szCs w:val="10"/>
                <w:color w:val="auto"/>
              </w:rPr>
            </w:pPr>
          </w:p>
        </w:tc>
        <w:tc>
          <w:tcPr>
            <w:tcW w:w="320" w:type="dxa"/>
            <w:vAlign w:val="bottom"/>
            <w:shd w:val="clear" w:color="auto" w:fill="CCEEFF"/>
          </w:tcPr>
          <w:p>
            <w:pPr>
              <w:ind w:left="1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21"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center"/>
              <w:ind w:left="84"/>
              <w:spacing w:after="0" w:line="121" w:lineRule="exact"/>
              <w:rPr>
                <w:sz w:val="20"/>
                <w:szCs w:val="20"/>
                <w:color w:val="auto"/>
              </w:rPr>
            </w:pPr>
            <w:r>
              <w:rPr>
                <w:rFonts w:ascii="Times New Roman" w:cs="Times New Roman" w:eastAsia="Times New Roman" w:hAnsi="Times New Roman"/>
                <w:sz w:val="11"/>
                <w:szCs w:val="11"/>
                <w:color w:val="auto"/>
              </w:rPr>
              <w:t>889,603,586</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80"/>
              <w:spacing w:after="0" w:line="121" w:lineRule="exact"/>
              <w:rPr>
                <w:sz w:val="20"/>
                <w:szCs w:val="20"/>
                <w:color w:val="auto"/>
              </w:rPr>
            </w:pPr>
            <w:r>
              <w:rPr>
                <w:rFonts w:ascii="Times New Roman" w:cs="Times New Roman" w:eastAsia="Times New Roman" w:hAnsi="Times New Roman"/>
                <w:sz w:val="11"/>
                <w:szCs w:val="11"/>
                <w:color w:val="auto"/>
              </w:rPr>
              <w:t>62</w:t>
            </w:r>
          </w:p>
        </w:tc>
        <w:tc>
          <w:tcPr>
            <w:tcW w:w="600" w:type="dxa"/>
            <w:vAlign w:val="bottom"/>
            <w:shd w:val="clear" w:color="auto" w:fill="CCEEFF"/>
          </w:tcPr>
          <w:p>
            <w:pPr>
              <w:ind w:left="40"/>
              <w:spacing w:after="0" w:line="121" w:lineRule="exact"/>
              <w:rPr>
                <w:sz w:val="20"/>
                <w:szCs w:val="20"/>
                <w:color w:val="auto"/>
              </w:rPr>
            </w:pPr>
            <w:r>
              <w:rPr>
                <w:rFonts w:ascii="Times New Roman" w:cs="Times New Roman" w:eastAsia="Times New Roman" w:hAnsi="Times New Roman"/>
                <w:sz w:val="11"/>
                <w:szCs w:val="11"/>
                <w:color w:val="auto"/>
                <w:w w:val="98"/>
              </w:rPr>
              <w:t>150,591,207</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10</w:t>
            </w:r>
          </w:p>
        </w:tc>
        <w:tc>
          <w:tcPr>
            <w:tcW w:w="5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3,436,860</w:t>
            </w: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21" w:lineRule="exact"/>
              <w:rPr>
                <w:sz w:val="20"/>
                <w:szCs w:val="20"/>
                <w:color w:val="auto"/>
              </w:rPr>
            </w:pPr>
            <w:r>
              <w:rPr>
                <w:rFonts w:ascii="Times New Roman" w:cs="Times New Roman" w:eastAsia="Times New Roman" w:hAnsi="Times New Roman"/>
                <w:sz w:val="11"/>
                <w:szCs w:val="11"/>
                <w:color w:val="auto"/>
              </w:rPr>
              <w:t>(9,545)</w:t>
            </w: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896,772</w:t>
            </w:r>
          </w:p>
        </w:tc>
        <w:tc>
          <w:tcPr>
            <w:tcW w:w="960" w:type="dxa"/>
            <w:vAlign w:val="bottom"/>
            <w:gridSpan w:val="3"/>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(27,295)</w:t>
            </w:r>
          </w:p>
        </w:tc>
        <w:tc>
          <w:tcPr>
            <w:tcW w:w="78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1"/>
                <w:szCs w:val="11"/>
                <w:color w:val="auto"/>
              </w:rPr>
              <w:t>(499,940)</w:t>
            </w:r>
          </w:p>
        </w:tc>
        <w:tc>
          <w:tcPr>
            <w:tcW w:w="68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1"/>
                <w:szCs w:val="11"/>
                <w:color w:val="auto"/>
              </w:rPr>
              <w:t>849</w:t>
            </w:r>
          </w:p>
        </w:tc>
        <w:tc>
          <w:tcPr>
            <w:tcW w:w="780" w:type="dxa"/>
            <w:vAlign w:val="bottom"/>
            <w:gridSpan w:val="2"/>
            <w:shd w:val="clear" w:color="auto" w:fill="CCEEFF"/>
          </w:tcPr>
          <w:p>
            <w:pPr>
              <w:jc w:val="right"/>
              <w:ind w:right="80"/>
              <w:spacing w:after="0" w:line="121" w:lineRule="exact"/>
              <w:rPr>
                <w:sz w:val="20"/>
                <w:szCs w:val="20"/>
                <w:color w:val="auto"/>
              </w:rPr>
            </w:pPr>
            <w:r>
              <w:rPr>
                <w:rFonts w:ascii="Times New Roman" w:cs="Times New Roman" w:eastAsia="Times New Roman" w:hAnsi="Times New Roman"/>
                <w:sz w:val="11"/>
                <w:szCs w:val="11"/>
                <w:color w:val="auto"/>
              </w:rPr>
              <w:t>360,913</w:t>
            </w:r>
          </w:p>
        </w:tc>
        <w:tc>
          <w:tcPr>
            <w:tcW w:w="0" w:type="dxa"/>
            <w:vAlign w:val="bottom"/>
          </w:tcPr>
          <w:p>
            <w:pPr>
              <w:spacing w:after="0"/>
              <w:rPr>
                <w:sz w:val="1"/>
                <w:szCs w:val="1"/>
                <w:color w:val="auto"/>
              </w:rPr>
            </w:pPr>
          </w:p>
        </w:tc>
      </w:tr>
      <w:tr>
        <w:trPr>
          <w:trHeight w:val="125"/>
        </w:trPr>
        <w:tc>
          <w:tcPr>
            <w:tcW w:w="138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Net loss for the year</w:t>
            </w:r>
          </w:p>
        </w:tc>
        <w:tc>
          <w:tcPr>
            <w:tcW w:w="280" w:type="dxa"/>
            <w:vAlign w:val="bottom"/>
          </w:tcPr>
          <w:p>
            <w:pPr>
              <w:spacing w:after="0"/>
              <w:rPr>
                <w:sz w:val="10"/>
                <w:szCs w:val="10"/>
                <w:color w:val="auto"/>
              </w:rPr>
            </w:pPr>
          </w:p>
        </w:tc>
        <w:tc>
          <w:tcPr>
            <w:tcW w:w="320" w:type="dxa"/>
            <w:vAlign w:val="bottom"/>
            <w:tcBorders>
              <w:top w:val="single" w:sz="8" w:color="auto"/>
            </w:tcBorders>
          </w:tcPr>
          <w:p>
            <w:pPr>
              <w:ind w:left="1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Borders>
              <w:top w:val="single" w:sz="8" w:color="auto"/>
            </w:tcBorders>
          </w:tcPr>
          <w:p>
            <w:pPr>
              <w:ind w:left="22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0" w:type="dxa"/>
            <w:vAlign w:val="bottom"/>
            <w:tcBorders>
              <w:top w:val="single" w:sz="8" w:color="auto"/>
            </w:tcBorders>
          </w:tcPr>
          <w:p>
            <w:pPr>
              <w:ind w:left="42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Borders>
              <w:top w:val="single" w:sz="8" w:color="auto"/>
            </w:tcBorders>
          </w:tcPr>
          <w:p>
            <w:pPr>
              <w:ind w:left="22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0" w:type="dxa"/>
            <w:vAlign w:val="bottom"/>
            <w:tcBorders>
              <w:top w:val="single" w:sz="8" w:color="auto"/>
            </w:tcBorders>
          </w:tcPr>
          <w:p>
            <w:pPr>
              <w:ind w:left="4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Borders>
              <w:top w:val="single" w:sz="8" w:color="auto"/>
            </w:tcBorders>
          </w:tcPr>
          <w:p>
            <w:pPr>
              <w:ind w:left="2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Borders>
              <w:top w:val="single" w:sz="8" w:color="auto"/>
            </w:tcBorders>
          </w:tcPr>
          <w:p>
            <w:pPr>
              <w:jc w:val="right"/>
              <w:ind w:right="4"/>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Borders>
              <w:top w:val="single" w:sz="8" w:color="auto"/>
            </w:tcBorders>
          </w:tcPr>
          <w:p>
            <w:pPr>
              <w:ind w:left="22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tcBorders>
              <w:top w:val="single" w:sz="8" w:color="auto"/>
            </w:tcBorders>
          </w:tcPr>
          <w:p>
            <w:pPr>
              <w:ind w:left="5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(31,187)</w:t>
            </w:r>
          </w:p>
        </w:tc>
        <w:tc>
          <w:tcPr>
            <w:tcW w:w="140" w:type="dxa"/>
            <w:vAlign w:val="bottom"/>
          </w:tcPr>
          <w:p>
            <w:pPr>
              <w:spacing w:after="0"/>
              <w:rPr>
                <w:sz w:val="10"/>
                <w:szCs w:val="10"/>
                <w:color w:val="auto"/>
              </w:rPr>
            </w:pPr>
          </w:p>
        </w:tc>
        <w:tc>
          <w:tcPr>
            <w:tcW w:w="54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(2,553)</w:t>
            </w:r>
          </w:p>
        </w:tc>
        <w:tc>
          <w:tcPr>
            <w:tcW w:w="140" w:type="dxa"/>
            <w:vAlign w:val="bottom"/>
          </w:tcPr>
          <w:p>
            <w:pPr>
              <w:spacing w:after="0"/>
              <w:rPr>
                <w:sz w:val="10"/>
                <w:szCs w:val="10"/>
                <w:color w:val="auto"/>
              </w:rPr>
            </w:pPr>
          </w:p>
        </w:tc>
        <w:tc>
          <w:tcPr>
            <w:tcW w:w="7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(33,740)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38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1"/>
                <w:szCs w:val="11"/>
                <w:color w:val="auto"/>
              </w:rPr>
              <w:t>Repurchase of Class A</w:t>
            </w: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common shares</w:t>
            </w:r>
          </w:p>
        </w:tc>
        <w:tc>
          <w:tcPr>
            <w:tcW w:w="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15</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13,097,740</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(5,761)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(5,761)</w:t>
            </w:r>
          </w:p>
        </w:tc>
        <w:tc>
          <w:tcPr>
            <w:tcW w:w="0" w:type="dxa"/>
            <w:vAlign w:val="bottom"/>
          </w:tcPr>
          <w:p>
            <w:pPr>
              <w:spacing w:after="0"/>
              <w:rPr>
                <w:sz w:val="1"/>
                <w:szCs w:val="1"/>
                <w:color w:val="auto"/>
              </w:rPr>
            </w:pPr>
          </w:p>
        </w:tc>
      </w:tr>
      <w:tr>
        <w:trPr>
          <w:trHeight w:val="105"/>
        </w:trPr>
        <w:tc>
          <w:tcPr>
            <w:tcW w:w="1380" w:type="dxa"/>
            <w:vAlign w:val="bottom"/>
          </w:tcPr>
          <w:p>
            <w:pPr>
              <w:spacing w:after="0" w:line="105" w:lineRule="exact"/>
              <w:rPr>
                <w:sz w:val="20"/>
                <w:szCs w:val="20"/>
                <w:color w:val="auto"/>
              </w:rPr>
            </w:pPr>
            <w:r>
              <w:rPr>
                <w:rFonts w:ascii="Times New Roman" w:cs="Times New Roman" w:eastAsia="Times New Roman" w:hAnsi="Times New Roman"/>
                <w:sz w:val="11"/>
                <w:szCs w:val="11"/>
                <w:color w:val="auto"/>
              </w:rPr>
              <w:t>Share-based payment</w:t>
            </w: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3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compensation</w:t>
            </w:r>
          </w:p>
        </w:tc>
        <w:tc>
          <w:tcPr>
            <w:tcW w:w="28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17</w:t>
            </w:r>
          </w:p>
        </w:tc>
        <w:tc>
          <w:tcPr>
            <w:tcW w:w="3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8,163</w:t>
            </w:r>
          </w:p>
        </w:tc>
        <w:tc>
          <w:tcPr>
            <w:tcW w:w="100" w:type="dxa"/>
            <w:vAlign w:val="bottom"/>
          </w:tcPr>
          <w:p>
            <w:pPr>
              <w:spacing w:after="0"/>
              <w:rPr>
                <w:sz w:val="11"/>
                <w:szCs w:val="11"/>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8,163</w:t>
            </w:r>
          </w:p>
        </w:tc>
        <w:tc>
          <w:tcPr>
            <w:tcW w:w="0" w:type="dxa"/>
            <w:vAlign w:val="bottom"/>
          </w:tcPr>
          <w:p>
            <w:pPr>
              <w:spacing w:after="0"/>
              <w:rPr>
                <w:sz w:val="1"/>
                <w:szCs w:val="1"/>
                <w:color w:val="auto"/>
              </w:rPr>
            </w:pPr>
          </w:p>
        </w:tc>
      </w:tr>
      <w:tr>
        <w:trPr>
          <w:trHeight w:val="105"/>
        </w:trPr>
        <w:tc>
          <w:tcPr>
            <w:tcW w:w="138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1"/>
                <w:szCs w:val="11"/>
                <w:color w:val="auto"/>
              </w:rPr>
              <w:t>Capital injection from non-</w:t>
            </w: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controlling interests</w:t>
            </w: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2,850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2,850</w:t>
            </w:r>
          </w:p>
        </w:tc>
        <w:tc>
          <w:tcPr>
            <w:tcW w:w="0" w:type="dxa"/>
            <w:vAlign w:val="bottom"/>
          </w:tcPr>
          <w:p>
            <w:pPr>
              <w:spacing w:after="0"/>
              <w:rPr>
                <w:sz w:val="1"/>
                <w:szCs w:val="1"/>
                <w:color w:val="auto"/>
              </w:rPr>
            </w:pPr>
          </w:p>
        </w:tc>
      </w:tr>
      <w:tr>
        <w:trPr>
          <w:trHeight w:val="125"/>
        </w:trPr>
        <w:tc>
          <w:tcPr>
            <w:tcW w:w="138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280" w:type="dxa"/>
            <w:vAlign w:val="bottom"/>
          </w:tcPr>
          <w:p>
            <w:pPr>
              <w:spacing w:after="0"/>
              <w:rPr>
                <w:sz w:val="10"/>
                <w:szCs w:val="10"/>
                <w:color w:val="auto"/>
              </w:rPr>
            </w:pPr>
          </w:p>
        </w:tc>
        <w:tc>
          <w:tcPr>
            <w:tcW w:w="320" w:type="dxa"/>
            <w:vAlign w:val="bottom"/>
          </w:tcPr>
          <w:p>
            <w:pPr>
              <w:ind w:left="1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Pr>
          <w:p>
            <w:pPr>
              <w:ind w:left="22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00" w:type="dxa"/>
            <w:vAlign w:val="bottom"/>
            <w:gridSpan w:val="2"/>
          </w:tcPr>
          <w:p>
            <w:pPr>
              <w:ind w:left="420"/>
              <w:spacing w:after="0" w:line="121"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220"/>
              <w:spacing w:after="0" w:line="121"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ind w:left="440"/>
              <w:spacing w:after="0" w:line="121"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ind w:left="240"/>
              <w:spacing w:after="0" w:line="121"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ind w:left="220"/>
              <w:spacing w:after="0" w:line="121"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3"/>
          </w:tcPr>
          <w:p>
            <w:pPr>
              <w:jc w:val="right"/>
              <w:ind w:right="140"/>
              <w:spacing w:after="0" w:line="121" w:lineRule="exact"/>
              <w:rPr>
                <w:sz w:val="20"/>
                <w:szCs w:val="20"/>
                <w:color w:val="auto"/>
              </w:rPr>
            </w:pPr>
            <w:r>
              <w:rPr>
                <w:rFonts w:ascii="Times New Roman" w:cs="Times New Roman" w:eastAsia="Times New Roman" w:hAnsi="Times New Roman"/>
                <w:sz w:val="11"/>
                <w:szCs w:val="11"/>
                <w:color w:val="auto"/>
              </w:rPr>
              <w:t>9,600</w:t>
            </w:r>
          </w:p>
        </w:tc>
        <w:tc>
          <w:tcPr>
            <w:tcW w:w="78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line="121" w:lineRule="exact"/>
              <w:rPr>
                <w:sz w:val="20"/>
                <w:szCs w:val="20"/>
                <w:color w:val="auto"/>
              </w:rPr>
            </w:pPr>
            <w:r>
              <w:rPr>
                <w:rFonts w:ascii="Times New Roman" w:cs="Times New Roman" w:eastAsia="Times New Roman" w:hAnsi="Times New Roman"/>
                <w:sz w:val="11"/>
                <w:szCs w:val="11"/>
                <w:color w:val="auto"/>
              </w:rPr>
              <w:t>9,600</w:t>
            </w:r>
          </w:p>
        </w:tc>
        <w:tc>
          <w:tcPr>
            <w:tcW w:w="0" w:type="dxa"/>
            <w:vAlign w:val="bottom"/>
          </w:tcPr>
          <w:p>
            <w:pPr>
              <w:spacing w:after="0"/>
              <w:rPr>
                <w:sz w:val="1"/>
                <w:szCs w:val="1"/>
                <w:color w:val="auto"/>
              </w:rPr>
            </w:pPr>
          </w:p>
        </w:tc>
      </w:tr>
      <w:tr>
        <w:trPr>
          <w:trHeight w:val="103"/>
        </w:trPr>
        <w:tc>
          <w:tcPr>
            <w:tcW w:w="138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Balance at December 31,</w:t>
            </w:r>
          </w:p>
        </w:tc>
        <w:tc>
          <w:tcPr>
            <w:tcW w:w="280" w:type="dxa"/>
            <w:vAlign w:val="bottom"/>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2022</w:t>
            </w: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889,603,586</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98"/>
              </w:rPr>
              <w:t>150,591,207</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10</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16,534,600</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(15,306)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904,935</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(17,695)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(531,127)</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1,146</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342,025</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color w:val="auto"/>
        </w:rPr>
        <w:t>The accompanying notes form an integral part of these consolidated financial statements.</w:t>
      </w:r>
    </w:p>
    <w:p>
      <w:pPr>
        <w:spacing w:after="0" w:line="14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color w:val="auto"/>
        </w:rPr>
        <w:t>F-11</w:t>
      </w:r>
    </w:p>
    <w:p>
      <w:pPr>
        <w:sectPr>
          <w:pgSz w:w="11900" w:h="16838" w:orient="portrait"/>
          <w:cols w:equalWidth="0" w:num="1">
            <w:col w:w="10540"/>
          </w:cols>
          <w:pgMar w:left="320" w:top="447" w:right="10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(Continued)</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7"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7060" w:type="dxa"/>
            <w:vAlign w:val="bottom"/>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2"/>
                <w:szCs w:val="12"/>
                <w:color w:val="auto"/>
              </w:rPr>
            </w:pPr>
          </w:p>
        </w:tc>
        <w:tc>
          <w:tcPr>
            <w:tcW w:w="1600" w:type="dxa"/>
            <w:vAlign w:val="bottom"/>
            <w:gridSpan w:val="5"/>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9"/>
              </w:rPr>
              <w:t>Year Ended December 31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70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ind w:right="28"/>
              <w:spacing w:after="0" w:line="103" w:lineRule="exact"/>
              <w:rPr>
                <w:sz w:val="20"/>
                <w:szCs w:val="20"/>
                <w:color w:val="auto"/>
              </w:rPr>
            </w:pPr>
            <w:r>
              <w:rPr>
                <w:rFonts w:ascii="Times New Roman" w:cs="Times New Roman" w:eastAsia="Times New Roman" w:hAnsi="Times New Roman"/>
                <w:sz w:val="11"/>
                <w:szCs w:val="11"/>
                <w:b w:val="1"/>
                <w:bCs w:val="1"/>
                <w:color w:val="auto"/>
              </w:rPr>
              <w:t>USD$</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7060" w:type="dxa"/>
            <w:vAlign w:val="bottom"/>
          </w:tcPr>
          <w:p>
            <w:pPr>
              <w:spacing w:after="0"/>
              <w:rPr>
                <w:sz w:val="14"/>
                <w:szCs w:val="14"/>
                <w:color w:val="auto"/>
              </w:rPr>
            </w:pPr>
          </w:p>
        </w:tc>
        <w:tc>
          <w:tcPr>
            <w:tcW w:w="600" w:type="dxa"/>
            <w:vAlign w:val="bottom"/>
            <w:gridSpan w:val="2"/>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RMB</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RMB</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8"/>
              </w:rPr>
              <w:t>Note 2(f)</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profit/(loss)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(18,292)</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(107,717)</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(33,740)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(4,892)</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Adjustments to reconcile net profit/(loss) to net cash provided by operating activities:</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Allowance for doubtful account</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1,218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5,108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7,424</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18,427</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Unrealized exchange (income)/ loss</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8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6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35,880</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11,355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8,163</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Interest expense</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1,157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3,206</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Investment (income)/loss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5,328</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Gain on disposal of subsidiary</w:t>
            </w:r>
          </w:p>
        </w:tc>
        <w:tc>
          <w:tcPr>
            <w:tcW w:w="6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Share of (income)/loss of equity method investee</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(2,660)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Deferred income tax</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6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8,408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32,941</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27,788</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Amortization of Directors and Officers Liability Insurance premium</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6,127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7,798</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7,891</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Loss/(gain) on disposal of property, plant and equipment</w:t>
            </w:r>
          </w:p>
        </w:tc>
        <w:tc>
          <w:tcPr>
            <w:tcW w:w="6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44</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Gain on termination of right-of-use assets</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(7,215)</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(1,046)</w:t>
            </w:r>
          </w:p>
        </w:tc>
        <w:tc>
          <w:tcPr>
            <w:tcW w:w="0" w:type="dxa"/>
            <w:vAlign w:val="bottom"/>
          </w:tcPr>
          <w:p>
            <w:pPr>
              <w:spacing w:after="0"/>
              <w:rPr>
                <w:sz w:val="1"/>
                <w:szCs w:val="1"/>
                <w:color w:val="auto"/>
              </w:rPr>
            </w:pPr>
          </w:p>
        </w:tc>
      </w:tr>
      <w:tr>
        <w:trPr>
          <w:trHeight w:val="24"/>
        </w:trPr>
        <w:tc>
          <w:tcPr>
            <w:tcW w:w="70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70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(41,015)</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33,799</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4,900</w:t>
            </w:r>
          </w:p>
        </w:tc>
        <w:tc>
          <w:tcPr>
            <w:tcW w:w="0" w:type="dxa"/>
            <w:vAlign w:val="bottom"/>
          </w:tcPr>
          <w:p>
            <w:pPr>
              <w:spacing w:after="0"/>
              <w:rPr>
                <w:sz w:val="1"/>
                <w:szCs w:val="1"/>
                <w:color w:val="auto"/>
              </w:rPr>
            </w:pPr>
          </w:p>
        </w:tc>
      </w:tr>
      <w:tr>
        <w:trPr>
          <w:trHeight w:val="183"/>
        </w:trPr>
        <w:tc>
          <w:tcPr>
            <w:tcW w:w="70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(Increase)/decrease in accounts receivable</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(52,824)</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(545,678)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531,001</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76,988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(Increase)/decrease in insurance premium receivables</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355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2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(575)</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(Increase)/decrease in prepaid expense and other receivables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(30,755)</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(40,020)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22,786</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(Increase)/decrease in amounts due from related parties</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29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(361)</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Increase/(decrease) in amounts due to related party</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11,875</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(11,380)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(1,650)</w:t>
            </w: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(Increase)/decrease in other assets</w:t>
            </w:r>
          </w:p>
        </w:tc>
        <w:tc>
          <w:tcPr>
            <w:tcW w:w="6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(Increase)/decrease in contract assets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(56,522)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(8,195)</w:t>
            </w: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Increase/(decrease) in accounts payable</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103,091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452,550</w:t>
            </w:r>
          </w:p>
        </w:tc>
        <w:tc>
          <w:tcPr>
            <w:tcW w:w="2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(428,580)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(62,138)</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Increase/(decrease) in insurance premium payables</w:t>
            </w:r>
          </w:p>
        </w:tc>
        <w:tc>
          <w:tcPr>
            <w:tcW w:w="6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61,632</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(63,200)</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(96,452)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(13,984)</w:t>
            </w: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Increase/(decrease) in payroll and welfare payable</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24,082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25,578</w:t>
            </w:r>
          </w:p>
        </w:tc>
        <w:tc>
          <w:tcPr>
            <w:tcW w:w="2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(49,760)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(7,215)</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Increase/(decrease) in tax payable</w:t>
            </w:r>
          </w:p>
        </w:tc>
        <w:tc>
          <w:tcPr>
            <w:tcW w:w="6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2,234</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Increase/(decrease) in other payables and accrued expenses</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2,577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29,860</w:t>
            </w:r>
          </w:p>
        </w:tc>
        <w:tc>
          <w:tcPr>
            <w:tcW w:w="2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(13,155)</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(1,907)</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Increase/(decrease) in operating lease liabilities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(10,891)</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(14,199)</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(12,866)</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(1,865)</w:t>
            </w: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Increase/(decrease) in contract liabilities</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7,236</w:t>
            </w:r>
          </w:p>
        </w:tc>
        <w:tc>
          <w:tcPr>
            <w:tcW w:w="2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(3,202)</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24"/>
        </w:trPr>
        <w:tc>
          <w:tcPr>
            <w:tcW w:w="70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by/(used in) operating activities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(175,917)</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(85,067)</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(12,332)</w:t>
            </w:r>
          </w:p>
        </w:tc>
        <w:tc>
          <w:tcPr>
            <w:tcW w:w="0" w:type="dxa"/>
            <w:vAlign w:val="bottom"/>
          </w:tcPr>
          <w:p>
            <w:pPr>
              <w:spacing w:after="0"/>
              <w:rPr>
                <w:sz w:val="1"/>
                <w:szCs w:val="1"/>
                <w:color w:val="auto"/>
              </w:rPr>
            </w:pPr>
          </w:p>
        </w:tc>
      </w:tr>
      <w:tr>
        <w:trPr>
          <w:trHeight w:val="183"/>
        </w:trPr>
        <w:tc>
          <w:tcPr>
            <w:tcW w:w="7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Purchase of long-term investment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(22,450)</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(33,614)</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(10,000)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(1,450)</w:t>
            </w: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Purchase of property, equipment and intangible assets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(8,196)</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(38,061)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(16,823)</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(2,439)</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Proceeds from disposal of property, equipment and intangible assets</w:t>
            </w:r>
          </w:p>
        </w:tc>
        <w:tc>
          <w:tcPr>
            <w:tcW w:w="6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Proceeds from disposal of investments</w:t>
            </w:r>
          </w:p>
        </w:tc>
        <w:tc>
          <w:tcPr>
            <w:tcW w:w="6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3,820</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Acquisition of subsidiary, net of cash acquired</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(14,292)</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(25,964)</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(3,764)</w:t>
            </w: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Cash received for disposal of subsidiary</w:t>
            </w:r>
          </w:p>
        </w:tc>
        <w:tc>
          <w:tcPr>
            <w:tcW w:w="6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Advances to a third party</w:t>
            </w:r>
          </w:p>
        </w:tc>
        <w:tc>
          <w:tcPr>
            <w:tcW w:w="6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(26,000)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(3,770)</w:t>
            </w: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Repayment from a third party</w:t>
            </w:r>
          </w:p>
        </w:tc>
        <w:tc>
          <w:tcPr>
            <w:tcW w:w="6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Interests received</w:t>
            </w:r>
          </w:p>
        </w:tc>
        <w:tc>
          <w:tcPr>
            <w:tcW w:w="6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Others</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0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8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by/(used in) investing activities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(31,078)</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(80,926)</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(56,286)</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(8,161)</w:t>
            </w:r>
          </w:p>
        </w:tc>
        <w:tc>
          <w:tcPr>
            <w:tcW w:w="0" w:type="dxa"/>
            <w:vAlign w:val="bottom"/>
          </w:tcPr>
          <w:p>
            <w:pPr>
              <w:spacing w:after="0"/>
              <w:rPr>
                <w:sz w:val="1"/>
                <w:szCs w:val="1"/>
                <w:color w:val="auto"/>
              </w:rPr>
            </w:pPr>
          </w:p>
        </w:tc>
      </w:tr>
      <w:tr>
        <w:trPr>
          <w:trHeight w:val="183"/>
        </w:trPr>
        <w:tc>
          <w:tcPr>
            <w:tcW w:w="7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Proceeds from borrowings</w:t>
            </w:r>
          </w:p>
        </w:tc>
        <w:tc>
          <w:tcPr>
            <w:tcW w:w="6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105,400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184,000</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270,200</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39,175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Repayments of borrowings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(61,266)</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(40,503)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(367,524)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(53,286)</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Proceeds from IPO, net of issuance costs</w:t>
            </w:r>
          </w:p>
        </w:tc>
        <w:tc>
          <w:tcPr>
            <w:tcW w:w="6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340,479</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Repurchase of Class A common shares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(3,003)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(6,659)</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(965)</w:t>
            </w: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Proceeds from exercise of share options</w:t>
            </w:r>
          </w:p>
        </w:tc>
        <w:tc>
          <w:tcPr>
            <w:tcW w:w="6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503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0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Cash received by subsidiaries from minority shareholders</w:t>
            </w:r>
          </w:p>
        </w:tc>
        <w:tc>
          <w:tcPr>
            <w:tcW w:w="5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0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8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by/(used in) financing activities</w:t>
            </w:r>
          </w:p>
        </w:tc>
        <w:tc>
          <w:tcPr>
            <w:tcW w:w="6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383,053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141,891</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(101,133)</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(14,663)</w:t>
            </w:r>
          </w:p>
        </w:tc>
        <w:tc>
          <w:tcPr>
            <w:tcW w:w="0" w:type="dxa"/>
            <w:vAlign w:val="bottom"/>
          </w:tcPr>
          <w:p>
            <w:pPr>
              <w:spacing w:after="0"/>
              <w:rPr>
                <w:sz w:val="1"/>
                <w:szCs w:val="1"/>
                <w:color w:val="auto"/>
              </w:rPr>
            </w:pPr>
          </w:p>
        </w:tc>
      </w:tr>
      <w:tr>
        <w:trPr>
          <w:trHeight w:val="181"/>
        </w:trPr>
        <w:tc>
          <w:tcPr>
            <w:tcW w:w="7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 and cash equivalents</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(10,020</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(5,012)</w:t>
            </w:r>
          </w:p>
        </w:tc>
        <w:tc>
          <w:tcPr>
            <w:tcW w:w="20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9,587</w:t>
            </w:r>
          </w:p>
        </w:tc>
        <w:tc>
          <w:tcPr>
            <w:tcW w:w="18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7060" w:type="dxa"/>
            <w:vAlign w:val="bottom"/>
          </w:tcPr>
          <w:p>
            <w:pPr>
              <w:ind w:left="4780"/>
              <w:spacing w:after="0"/>
              <w:rPr>
                <w:sz w:val="20"/>
                <w:szCs w:val="20"/>
                <w:color w:val="auto"/>
              </w:rPr>
            </w:pPr>
            <w:r>
              <w:rPr>
                <w:rFonts w:ascii="Times New Roman" w:cs="Times New Roman" w:eastAsia="Times New Roman" w:hAnsi="Times New Roman"/>
                <w:sz w:val="16"/>
                <w:szCs w:val="16"/>
                <w:color w:val="auto"/>
              </w:rPr>
              <w:t>F-12</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320" w:top="447" w:right="10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(Continued)</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320"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7120" w:type="dxa"/>
            <w:vAlign w:val="bottom"/>
          </w:tcPr>
          <w:p>
            <w:pPr>
              <w:spacing w:after="0"/>
              <w:rPr>
                <w:sz w:val="12"/>
                <w:szCs w:val="12"/>
                <w:color w:val="auto"/>
              </w:rPr>
            </w:pPr>
          </w:p>
        </w:tc>
        <w:tc>
          <w:tcPr>
            <w:tcW w:w="50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2"/>
                <w:szCs w:val="12"/>
                <w:color w:val="auto"/>
              </w:rPr>
            </w:pPr>
          </w:p>
        </w:tc>
        <w:tc>
          <w:tcPr>
            <w:tcW w:w="1580" w:type="dxa"/>
            <w:vAlign w:val="bottom"/>
            <w:gridSpan w:val="5"/>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9"/>
              </w:rPr>
              <w:t>Year Ended December 31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1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71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10"/>
              <w:spacing w:after="0" w:line="103" w:lineRule="exact"/>
              <w:rPr>
                <w:sz w:val="20"/>
                <w:szCs w:val="20"/>
                <w:color w:val="auto"/>
              </w:rPr>
            </w:pPr>
            <w:r>
              <w:rPr>
                <w:rFonts w:ascii="Times New Roman" w:cs="Times New Roman" w:eastAsia="Times New Roman" w:hAnsi="Times New Roman"/>
                <w:sz w:val="11"/>
                <w:szCs w:val="11"/>
                <w:b w:val="1"/>
                <w:bCs w:val="1"/>
                <w:color w:val="auto"/>
              </w:rPr>
              <w:t>USD$</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712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RMB</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RMB</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4"/>
              </w:rPr>
              <w:t>Note 2(f)</w:t>
            </w:r>
          </w:p>
        </w:tc>
        <w:tc>
          <w:tcPr>
            <w:tcW w:w="0" w:type="dxa"/>
            <w:vAlign w:val="bottom"/>
          </w:tcPr>
          <w:p>
            <w:pPr>
              <w:spacing w:after="0"/>
              <w:rPr>
                <w:sz w:val="1"/>
                <w:szCs w:val="1"/>
                <w:color w:val="auto"/>
              </w:rPr>
            </w:pPr>
          </w:p>
        </w:tc>
      </w:tr>
      <w:tr>
        <w:trPr>
          <w:trHeight w:val="181"/>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increase/(decrease) in cash and cash equivalents and restricted cash</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479,621</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(119,964)</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(232,899)</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(33,766)</w:t>
            </w:r>
          </w:p>
        </w:tc>
        <w:tc>
          <w:tcPr>
            <w:tcW w:w="0" w:type="dxa"/>
            <w:vAlign w:val="bottom"/>
          </w:tcPr>
          <w:p>
            <w:pPr>
              <w:spacing w:after="0"/>
              <w:rPr>
                <w:sz w:val="1"/>
                <w:szCs w:val="1"/>
                <w:color w:val="auto"/>
              </w:rPr>
            </w:pPr>
          </w:p>
        </w:tc>
      </w:tr>
      <w:tr>
        <w:trPr>
          <w:trHeight w:val="181"/>
        </w:trPr>
        <w:tc>
          <w:tcPr>
            <w:tcW w:w="7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cash and cash equivalents and restricted cash at beginning of year</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249,327</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728,948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608,984</w:t>
            </w: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88,294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cash and cash equivalents and restricted cash at end of year</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728,948</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608,984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376,085</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54,528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Cash paid for interest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(4,386)</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(7,813)</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(10,614)</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(1,539)</w:t>
            </w:r>
          </w:p>
        </w:tc>
        <w:tc>
          <w:tcPr>
            <w:tcW w:w="0" w:type="dxa"/>
            <w:vAlign w:val="bottom"/>
          </w:tcPr>
          <w:p>
            <w:pPr>
              <w:spacing w:after="0"/>
              <w:rPr>
                <w:sz w:val="1"/>
                <w:szCs w:val="1"/>
                <w:color w:val="auto"/>
              </w:rPr>
            </w:pPr>
          </w:p>
        </w:tc>
      </w:tr>
      <w:tr>
        <w:trPr>
          <w:trHeight w:val="189"/>
        </w:trPr>
        <w:tc>
          <w:tcPr>
            <w:tcW w:w="7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Cash paid for income tax</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8"/>
        </w:trPr>
        <w:tc>
          <w:tcPr>
            <w:tcW w:w="7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Accretion on redeemable preferred shares to redemption value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(4,274)</w:t>
            </w:r>
          </w:p>
        </w:tc>
        <w:tc>
          <w:tcPr>
            <w:tcW w:w="1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7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Increase in lease liabilities arising from obtaining operating lease right-of-use assets</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270,256</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13,400</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2,011</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Decrease in lease liabilities due to termination of lease contacts</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(65,922)</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(9,558)</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color w:val="auto"/>
        </w:rPr>
        <w:t>The accompanying notes form an integral part of these consolidated financial statements.</w:t>
      </w:r>
    </w:p>
    <w:p>
      <w:pPr>
        <w:spacing w:after="0" w:line="14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color w:val="auto"/>
        </w:rPr>
        <w:t>F-13</w:t>
      </w:r>
    </w:p>
    <w:p>
      <w:pPr>
        <w:sectPr>
          <w:pgSz w:w="11900" w:h="16838" w:orient="portrait"/>
          <w:cols w:equalWidth="0" w:num="1">
            <w:col w:w="10540"/>
          </w:cols>
          <w:pgMar w:left="320" w:top="447" w:right="10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316" w:lineRule="exact"/>
        <w:rPr>
          <w:sz w:val="20"/>
          <w:szCs w:val="20"/>
          <w:color w:val="auto"/>
        </w:rPr>
      </w:pPr>
    </w:p>
    <w:p>
      <w:pPr>
        <w:ind w:left="860" w:hanging="153"/>
        <w:spacing w:after="0"/>
        <w:tabs>
          <w:tab w:leader="none" w:pos="860" w:val="left"/>
        </w:tabs>
        <w:numPr>
          <w:ilvl w:val="0"/>
          <w:numId w:val="1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activities and reorganization</w:t>
      </w:r>
    </w:p>
    <w:p>
      <w:pPr>
        <w:spacing w:after="0" w:line="105" w:lineRule="exact"/>
        <w:rPr>
          <w:rFonts w:ascii="Times New Roman" w:cs="Times New Roman" w:eastAsia="Times New Roman" w:hAnsi="Times New Roman"/>
          <w:sz w:val="16"/>
          <w:szCs w:val="16"/>
          <w:b w:val="1"/>
          <w:bCs w:val="1"/>
          <w:color w:val="auto"/>
        </w:rPr>
      </w:pPr>
    </w:p>
    <w:p>
      <w:pPr>
        <w:ind w:left="7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 History and Reorganization</w:t>
      </w:r>
    </w:p>
    <w:p>
      <w:pPr>
        <w:spacing w:after="0" w:line="107" w:lineRule="exact"/>
        <w:rPr>
          <w:sz w:val="20"/>
          <w:szCs w:val="20"/>
          <w:color w:val="auto"/>
        </w:rPr>
      </w:pPr>
    </w:p>
    <w:p>
      <w:pPr>
        <w:ind w:left="700" w:right="160" w:firstLine="393"/>
        <w:spacing w:after="0" w:line="262" w:lineRule="auto"/>
        <w:rPr>
          <w:sz w:val="20"/>
          <w:szCs w:val="20"/>
          <w:color w:val="auto"/>
        </w:rPr>
      </w:pPr>
      <w:r>
        <w:rPr>
          <w:rFonts w:ascii="Times New Roman" w:cs="Times New Roman" w:eastAsia="Times New Roman" w:hAnsi="Times New Roman"/>
          <w:sz w:val="16"/>
          <w:szCs w:val="16"/>
          <w:color w:val="auto"/>
        </w:rPr>
        <w:t>The Group commenced its operation in August 2006 by Mr. Cunjun Ma (“the founder”). Subsequently in December 2014, March 2016 and July 2016, the Company completed Series A, Series B and Series B+ financing respectively, and issued redeemable preferred shares to certain third party investors. In July 2018, the Company issued a convertible bond to certain third party investors. In October 2018, the investors converted the bond into Series B++ redeemable preferred shares.</w:t>
      </w:r>
    </w:p>
    <w:p>
      <w:pPr>
        <w:spacing w:after="0" w:line="161" w:lineRule="exact"/>
        <w:rPr>
          <w:sz w:val="20"/>
          <w:szCs w:val="20"/>
          <w:color w:val="auto"/>
        </w:rPr>
      </w:pPr>
    </w:p>
    <w:p>
      <w:pPr>
        <w:ind w:left="700" w:right="100" w:firstLine="393"/>
        <w:spacing w:after="0" w:line="262" w:lineRule="auto"/>
        <w:rPr>
          <w:sz w:val="20"/>
          <w:szCs w:val="20"/>
          <w:color w:val="auto"/>
        </w:rPr>
      </w:pPr>
      <w:r>
        <w:rPr>
          <w:rFonts w:ascii="Times New Roman" w:cs="Times New Roman" w:eastAsia="Times New Roman" w:hAnsi="Times New Roman"/>
          <w:sz w:val="16"/>
          <w:szCs w:val="16"/>
          <w:color w:val="auto"/>
        </w:rPr>
        <w:t>Huize Holding Limited (“Huize” or the “Company”) was incorporated on December 24, 2014 under the laws of the Cayman Islands. The Company commenced a reorganization (“Reorganization”) in preparation of an offshore listing by issuing 184,200,000 common shares and 98,900,000 redeemable preferred shares were issued to the three shareholders in 2014 and 2015 after the Company was established. In June 2015, Shenzhen Zhixuan was established as an indirect wholly foreign owned entity of the Company in the People’s Republic of China (the “PRC”).</w:t>
      </w:r>
    </w:p>
    <w:p>
      <w:pPr>
        <w:spacing w:after="0" w:line="161"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In June 2019, the Group completed the Reorganization by issuing 261,072,000 common shares, 105,122,000 Series A redeemable preferred shares, 185,512,580 Series B redeemable preferred shares, 43,937,180 Series B+ redeemable preferred shares and 16,574,460 Series B++ redeemable preferred shares to the shareholders of Huiye Tianze. After such share issuance, the total number of shares outstanding equals to that of Huiye Tianze. However, since the Company is an offshore entity, all PRC investors are required to register with relevant PRC governmental authorities in order to hold equity interest in the Company. All shareholders, except for one shareholder that which owns 21.87% of Huiye Tianze, have completed the relevant registrations. 78.13% of the shareholders received shares of the Company. The 21.87% shares of the Company were issued to an offshore affiliate of that shareholder. Concurrently, the Company obtained control over Huiye Tianze through Shenzhen Zhixuan by entering into a series of contractual arrangements as described in note 2b. As a result, Huiye Tianze became a consolidated VIE of the Group. The Company determined that the Reorganization is a recapitalization and accordingly prepared its financial statements using the carryover basis of assets and liabilities of Huiye Tianze and its subsidiaries.</w:t>
      </w:r>
    </w:p>
    <w:p>
      <w:pPr>
        <w:spacing w:after="0" w:line="166" w:lineRule="exact"/>
        <w:rPr>
          <w:sz w:val="20"/>
          <w:szCs w:val="20"/>
          <w:color w:val="auto"/>
        </w:rPr>
      </w:pPr>
    </w:p>
    <w:p>
      <w:pPr>
        <w:ind w:left="700" w:right="440" w:firstLine="393"/>
        <w:spacing w:after="0" w:line="267" w:lineRule="auto"/>
        <w:rPr>
          <w:sz w:val="20"/>
          <w:szCs w:val="20"/>
          <w:color w:val="auto"/>
        </w:rPr>
      </w:pPr>
      <w:r>
        <w:rPr>
          <w:rFonts w:ascii="Times New Roman" w:cs="Times New Roman" w:eastAsia="Times New Roman" w:hAnsi="Times New Roman"/>
          <w:sz w:val="16"/>
          <w:szCs w:val="16"/>
          <w:color w:val="auto"/>
        </w:rPr>
        <w:t>Accordingly, the Company became the ultimate holding company of Huiye Tianze and its subsidiaries, which are principally engaged in the provision of insurance brokerage services in the PRC. The Company and its consolidated subsidiaries and variable interest entities (“VIE”) are collectively referred to as the “Group”.</w:t>
      </w:r>
    </w:p>
    <w:p>
      <w:pPr>
        <w:spacing w:after="0" w:line="157" w:lineRule="exact"/>
        <w:rPr>
          <w:sz w:val="20"/>
          <w:szCs w:val="20"/>
          <w:color w:val="auto"/>
        </w:rPr>
      </w:pPr>
    </w:p>
    <w:p>
      <w:pPr>
        <w:ind w:left="700" w:right="20" w:firstLine="393"/>
        <w:spacing w:after="0" w:line="259" w:lineRule="auto"/>
        <w:rPr>
          <w:sz w:val="20"/>
          <w:szCs w:val="20"/>
          <w:color w:val="auto"/>
        </w:rPr>
      </w:pPr>
      <w:r>
        <w:rPr>
          <w:rFonts w:ascii="Times New Roman" w:cs="Times New Roman" w:eastAsia="Times New Roman" w:hAnsi="Times New Roman"/>
          <w:sz w:val="16"/>
          <w:szCs w:val="16"/>
          <w:color w:val="auto"/>
        </w:rPr>
        <w:t>In February 2020, the Company completed its initial public offering (“IPO”) in Nasdaq Global Market. The initial public offering of an aggregate of 5,250,000 American depository shares (“ADS”), each presenting 20 class A common shares of the Company, was priced at US$10.50 per ADS. On March 10, 2020, the underwriters have exercised part of their over-allotment option to purchase an additional 72,453 American Depositary Shares of the Company at the IPO price of US$10.50 per ADS. After giving effect to the exercise of the over-allotment option, the Company had issued and sold a total of 5,322,453 ADSs in the IPO, for total gross proceeds of approximately US$55.9 million.</w:t>
      </w:r>
    </w:p>
    <w:p>
      <w:pPr>
        <w:spacing w:after="0" w:line="1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F-14</w:t>
      </w:r>
    </w:p>
    <w:p>
      <w:pPr>
        <w:sectPr>
          <w:pgSz w:w="11900" w:h="16838" w:orient="portrait"/>
          <w:cols w:equalWidth="0" w:num="1">
            <w:col w:w="10520"/>
          </w:cols>
          <w:pgMar w:left="320" w:top="447" w:right="10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860" w:hanging="153"/>
        <w:spacing w:after="0"/>
        <w:tabs>
          <w:tab w:leader="none" w:pos="860" w:val="left"/>
        </w:tabs>
        <w:numPr>
          <w:ilvl w:val="0"/>
          <w:numId w:val="1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activities and reorganization (Continued)</w:t>
      </w:r>
    </w:p>
    <w:p>
      <w:pPr>
        <w:spacing w:after="0" w:line="105" w:lineRule="exact"/>
        <w:rPr>
          <w:rFonts w:ascii="Times New Roman" w:cs="Times New Roman" w:eastAsia="Times New Roman" w:hAnsi="Times New Roman"/>
          <w:sz w:val="16"/>
          <w:szCs w:val="16"/>
          <w:b w:val="1"/>
          <w:bCs w:val="1"/>
          <w:color w:val="auto"/>
        </w:rPr>
      </w:pPr>
    </w:p>
    <w:p>
      <w:pPr>
        <w:ind w:left="7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 History and Reorganization (Continued)</w:t>
      </w:r>
    </w:p>
    <w:p>
      <w:pPr>
        <w:spacing w:after="0" w:line="143" w:lineRule="exact"/>
        <w:rPr>
          <w:rFonts w:ascii="Times New Roman" w:cs="Times New Roman" w:eastAsia="Times New Roman" w:hAnsi="Times New Roman"/>
          <w:sz w:val="16"/>
          <w:szCs w:val="16"/>
          <w:b w:val="1"/>
          <w:bCs w:val="1"/>
          <w:color w:val="auto"/>
        </w:rPr>
      </w:pPr>
    </w:p>
    <w:p>
      <w:pPr>
        <w:ind w:left="11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2022 the Company’s principal subsidiaries, consolidated VIE and subsidiaries of VIE are as follows:</w:t>
      </w:r>
    </w:p>
    <w:p>
      <w:pPr>
        <w:spacing w:after="0" w:line="203"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3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20" w:type="dxa"/>
            <w:vAlign w:val="bottom"/>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8"/>
              </w:rPr>
              <w:t>Percentage of</w:t>
            </w: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 of</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Place of</w:t>
            </w:r>
          </w:p>
        </w:tc>
        <w:tc>
          <w:tcPr>
            <w:tcW w:w="1020" w:type="dxa"/>
            <w:vAlign w:val="bottom"/>
          </w:tcPr>
          <w:p>
            <w:pPr>
              <w:jc w:val="center"/>
              <w:ind w:right="44"/>
              <w:spacing w:after="0" w:line="133" w:lineRule="exact"/>
              <w:rPr>
                <w:sz w:val="20"/>
                <w:szCs w:val="20"/>
                <w:color w:val="auto"/>
              </w:rPr>
            </w:pPr>
            <w:r>
              <w:rPr>
                <w:rFonts w:ascii="Times New Roman" w:cs="Times New Roman" w:eastAsia="Times New Roman" w:hAnsi="Times New Roman"/>
                <w:sz w:val="13"/>
                <w:szCs w:val="13"/>
                <w:b w:val="1"/>
                <w:bCs w:val="1"/>
                <w:color w:val="auto"/>
                <w:w w:val="99"/>
              </w:rPr>
              <w:t>Direct or</w:t>
            </w:r>
          </w:p>
        </w:tc>
        <w:tc>
          <w:tcPr>
            <w:tcW w:w="2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1020" w:type="dxa"/>
            <w:vAlign w:val="bottom"/>
          </w:tcPr>
          <w:p>
            <w:pPr>
              <w:jc w:val="center"/>
              <w:ind w:right="64"/>
              <w:spacing w:after="0" w:line="133" w:lineRule="exact"/>
              <w:rPr>
                <w:sz w:val="20"/>
                <w:szCs w:val="20"/>
                <w:color w:val="auto"/>
              </w:rPr>
            </w:pPr>
            <w:r>
              <w:rPr>
                <w:rFonts w:ascii="Times New Roman" w:cs="Times New Roman" w:eastAsia="Times New Roman" w:hAnsi="Times New Roman"/>
                <w:sz w:val="13"/>
                <w:szCs w:val="13"/>
                <w:b w:val="1"/>
                <w:bCs w:val="1"/>
                <w:color w:val="auto"/>
                <w:w w:val="98"/>
              </w:rPr>
              <w:t>Indirect</w:t>
            </w:r>
          </w:p>
        </w:tc>
        <w:tc>
          <w:tcPr>
            <w:tcW w:w="2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Incorporation/</w:t>
            </w:r>
          </w:p>
        </w:tc>
        <w:tc>
          <w:tcPr>
            <w:tcW w:w="154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7"/>
              </w:rPr>
              <w:t>Incorporation/</w:t>
            </w:r>
          </w:p>
        </w:tc>
        <w:tc>
          <w:tcPr>
            <w:tcW w:w="1020" w:type="dxa"/>
            <w:vAlign w:val="bottom"/>
          </w:tcPr>
          <w:p>
            <w:pPr>
              <w:jc w:val="center"/>
              <w:ind w:right="44"/>
              <w:spacing w:after="0" w:line="133" w:lineRule="exact"/>
              <w:rPr>
                <w:sz w:val="20"/>
                <w:szCs w:val="20"/>
                <w:color w:val="auto"/>
              </w:rPr>
            </w:pPr>
            <w:r>
              <w:rPr>
                <w:rFonts w:ascii="Times New Roman" w:cs="Times New Roman" w:eastAsia="Times New Roman" w:hAnsi="Times New Roman"/>
                <w:sz w:val="13"/>
                <w:szCs w:val="13"/>
                <w:b w:val="1"/>
                <w:bCs w:val="1"/>
                <w:color w:val="auto"/>
                <w:w w:val="98"/>
              </w:rPr>
              <w:t>Economic</w:t>
            </w:r>
          </w:p>
        </w:tc>
        <w:tc>
          <w:tcPr>
            <w:tcW w:w="2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Principal Subsidiaries</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Establishment</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Establishment</w:t>
            </w:r>
          </w:p>
        </w:tc>
        <w:tc>
          <w:tcPr>
            <w:tcW w:w="1020" w:type="dxa"/>
            <w:vAlign w:val="bottom"/>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960" w:type="dxa"/>
            <w:vAlign w:val="bottom"/>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Principal Activities</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Smart Choice Ventures Limited (“Smart</w:t>
            </w:r>
          </w:p>
        </w:tc>
        <w:tc>
          <w:tcPr>
            <w:tcW w:w="13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Choice”)</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January 14, 2015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British Virgin Islands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Investment holding</w:t>
            </w:r>
          </w:p>
        </w:tc>
        <w:tc>
          <w:tcPr>
            <w:tcW w:w="0" w:type="dxa"/>
            <w:vAlign w:val="bottom"/>
          </w:tcPr>
          <w:p>
            <w:pPr>
              <w:spacing w:after="0"/>
              <w:rPr>
                <w:sz w:val="1"/>
                <w:szCs w:val="1"/>
                <w:color w:val="auto"/>
              </w:rPr>
            </w:pPr>
          </w:p>
        </w:tc>
      </w:tr>
      <w:tr>
        <w:trPr>
          <w:trHeight w:val="176"/>
        </w:trPr>
        <w:tc>
          <w:tcPr>
            <w:tcW w:w="30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Hong Kong Smart Choice Ventures Limited</w:t>
            </w:r>
          </w:p>
        </w:tc>
        <w:tc>
          <w:tcPr>
            <w:tcW w:w="1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(“HK Smart Choice”)</w:t>
            </w: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February 18, 2015</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Hong Kong</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Investment holding</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Huize Hong Kong Insurance Broker Limited</w:t>
            </w:r>
          </w:p>
        </w:tc>
        <w:tc>
          <w:tcPr>
            <w:tcW w:w="13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May 5, 2021</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Hong Kong</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Insurance brokerage service</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spacing w:after="0"/>
              <w:rPr>
                <w:sz w:val="15"/>
                <w:szCs w:val="15"/>
                <w:color w:val="auto"/>
              </w:rPr>
            </w:pPr>
          </w:p>
        </w:tc>
        <w:tc>
          <w:tcPr>
            <w:tcW w:w="1360" w:type="dxa"/>
            <w:vAlign w:val="bottom"/>
            <w:vMerge w:val="continue"/>
            <w:shd w:val="clear" w:color="auto" w:fill="CCEEFF"/>
          </w:tcPr>
          <w:p>
            <w:pPr>
              <w:spacing w:after="0"/>
              <w:rPr>
                <w:sz w:val="15"/>
                <w:szCs w:val="15"/>
                <w:color w:val="auto"/>
              </w:rPr>
            </w:pPr>
          </w:p>
        </w:tc>
        <w:tc>
          <w:tcPr>
            <w:tcW w:w="154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2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Zhixuan International Management</w:t>
            </w:r>
          </w:p>
        </w:tc>
        <w:tc>
          <w:tcPr>
            <w:tcW w:w="1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6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Investment and</w:t>
            </w:r>
          </w:p>
        </w:tc>
        <w:tc>
          <w:tcPr>
            <w:tcW w:w="0" w:type="dxa"/>
            <w:vAlign w:val="bottom"/>
          </w:tcPr>
          <w:p>
            <w:pPr>
              <w:spacing w:after="0"/>
              <w:rPr>
                <w:sz w:val="1"/>
                <w:szCs w:val="1"/>
                <w:color w:val="auto"/>
              </w:rPr>
            </w:pPr>
          </w:p>
        </w:tc>
      </w:tr>
      <w:tr>
        <w:trPr>
          <w:trHeight w:val="193"/>
        </w:trPr>
        <w:tc>
          <w:tcPr>
            <w:tcW w:w="3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Consulting (Shenzhen) Co., Ltd.</w:t>
            </w:r>
          </w:p>
        </w:tc>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investment consulting</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June 9, 2015</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PRC</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service</w:t>
            </w:r>
          </w:p>
        </w:tc>
        <w:tc>
          <w:tcPr>
            <w:tcW w:w="0" w:type="dxa"/>
            <w:vAlign w:val="bottom"/>
          </w:tcPr>
          <w:p>
            <w:pPr>
              <w:spacing w:after="0"/>
              <w:rPr>
                <w:sz w:val="1"/>
                <w:szCs w:val="1"/>
                <w:color w:val="auto"/>
              </w:rPr>
            </w:pPr>
          </w:p>
        </w:tc>
      </w:tr>
      <w:tr>
        <w:trPr>
          <w:trHeight w:val="193"/>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VIE</w:t>
            </w:r>
          </w:p>
        </w:tc>
        <w:tc>
          <w:tcPr>
            <w:tcW w:w="1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Shenzhen Huiye Tianze Investment Holding</w:t>
            </w:r>
          </w:p>
        </w:tc>
        <w:tc>
          <w:tcPr>
            <w:tcW w:w="1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6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Investment and</w:t>
            </w:r>
          </w:p>
        </w:tc>
        <w:tc>
          <w:tcPr>
            <w:tcW w:w="0" w:type="dxa"/>
            <w:vAlign w:val="bottom"/>
          </w:tcPr>
          <w:p>
            <w:pPr>
              <w:spacing w:after="0"/>
              <w:rPr>
                <w:sz w:val="1"/>
                <w:szCs w:val="1"/>
                <w:color w:val="auto"/>
              </w:rPr>
            </w:pPr>
          </w:p>
        </w:tc>
      </w:tr>
      <w:tr>
        <w:trPr>
          <w:trHeight w:val="193"/>
        </w:trPr>
        <w:tc>
          <w:tcPr>
            <w:tcW w:w="3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 Ltd (“Huiye Tianze”)</w:t>
            </w:r>
          </w:p>
        </w:tc>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investment</w:t>
            </w:r>
          </w:p>
        </w:tc>
        <w:tc>
          <w:tcPr>
            <w:tcW w:w="0" w:type="dxa"/>
            <w:vAlign w:val="bottom"/>
          </w:tcPr>
          <w:p>
            <w:pPr>
              <w:spacing w:after="0"/>
              <w:rPr>
                <w:sz w:val="1"/>
                <w:szCs w:val="1"/>
                <w:color w:val="auto"/>
              </w:rPr>
            </w:pPr>
          </w:p>
        </w:tc>
      </w:tr>
      <w:tr>
        <w:trPr>
          <w:trHeight w:val="221"/>
        </w:trPr>
        <w:tc>
          <w:tcPr>
            <w:tcW w:w="3000" w:type="dxa"/>
            <w:vAlign w:val="bottom"/>
          </w:tcPr>
          <w:p>
            <w:pPr>
              <w:spacing w:after="0"/>
              <w:rPr>
                <w:sz w:val="19"/>
                <w:szCs w:val="19"/>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October 30, 2014</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PRC</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consulting service</w:t>
            </w:r>
          </w:p>
        </w:tc>
        <w:tc>
          <w:tcPr>
            <w:tcW w:w="0" w:type="dxa"/>
            <w:vAlign w:val="bottom"/>
          </w:tcPr>
          <w:p>
            <w:pPr>
              <w:spacing w:after="0"/>
              <w:rPr>
                <w:sz w:val="1"/>
                <w:szCs w:val="1"/>
                <w:color w:val="auto"/>
              </w:rPr>
            </w:pPr>
          </w:p>
        </w:tc>
      </w:tr>
      <w:tr>
        <w:trPr>
          <w:trHeight w:val="193"/>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VIE’s Principal Subsidiaries</w:t>
            </w:r>
          </w:p>
        </w:tc>
        <w:tc>
          <w:tcPr>
            <w:tcW w:w="1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Huize Insurance Brokerage</w:t>
            </w:r>
          </w:p>
        </w:tc>
        <w:tc>
          <w:tcPr>
            <w:tcW w:w="1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 Ltd. (“Huize Insurance Brokerage”)</w:t>
            </w: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October 14, 2011</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PRC</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Insurance brokerage service</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Shenzhen Huize Shidai Co., Ltd. (“Huize</w:t>
            </w:r>
          </w:p>
        </w:tc>
        <w:tc>
          <w:tcPr>
            <w:tcW w:w="13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9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Technology development</w:t>
            </w:r>
          </w:p>
        </w:tc>
        <w:tc>
          <w:tcPr>
            <w:tcW w:w="0" w:type="dxa"/>
            <w:vAlign w:val="bottom"/>
          </w:tcPr>
          <w:p>
            <w:pPr>
              <w:spacing w:after="0"/>
              <w:rPr>
                <w:sz w:val="1"/>
                <w:szCs w:val="1"/>
                <w:color w:val="auto"/>
              </w:rPr>
            </w:pPr>
          </w:p>
        </w:tc>
      </w:tr>
      <w:tr>
        <w:trPr>
          <w:trHeight w:val="193"/>
        </w:trPr>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Shidai”)</w:t>
            </w:r>
          </w:p>
        </w:tc>
        <w:tc>
          <w:tcPr>
            <w:tcW w:w="1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and internet information</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April 28, 2012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PRC</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consulting service</w:t>
            </w:r>
          </w:p>
        </w:tc>
        <w:tc>
          <w:tcPr>
            <w:tcW w:w="0" w:type="dxa"/>
            <w:vAlign w:val="bottom"/>
          </w:tcPr>
          <w:p>
            <w:pPr>
              <w:spacing w:after="0"/>
              <w:rPr>
                <w:sz w:val="1"/>
                <w:szCs w:val="1"/>
                <w:color w:val="auto"/>
              </w:rPr>
            </w:pPr>
          </w:p>
        </w:tc>
      </w:tr>
      <w:tr>
        <w:trPr>
          <w:trHeight w:val="176"/>
        </w:trPr>
        <w:tc>
          <w:tcPr>
            <w:tcW w:w="30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Hefei Huize Internet Technology Co., Ltd.</w:t>
            </w:r>
          </w:p>
        </w:tc>
        <w:tc>
          <w:tcPr>
            <w:tcW w:w="1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6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Technology development</w:t>
            </w:r>
          </w:p>
        </w:tc>
        <w:tc>
          <w:tcPr>
            <w:tcW w:w="0" w:type="dxa"/>
            <w:vAlign w:val="bottom"/>
          </w:tcPr>
          <w:p>
            <w:pPr>
              <w:spacing w:after="0"/>
              <w:rPr>
                <w:sz w:val="1"/>
                <w:szCs w:val="1"/>
                <w:color w:val="auto"/>
              </w:rPr>
            </w:pPr>
          </w:p>
        </w:tc>
      </w:tr>
      <w:tr>
        <w:trPr>
          <w:trHeight w:val="193"/>
        </w:trPr>
        <w:tc>
          <w:tcPr>
            <w:tcW w:w="3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(“Hefei Huize”)</w:t>
            </w:r>
          </w:p>
        </w:tc>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and internet information</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August 5, 2015</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PRC</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consulting service</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Shenzhen Zhixuan Wealth Investment</w:t>
            </w:r>
          </w:p>
        </w:tc>
        <w:tc>
          <w:tcPr>
            <w:tcW w:w="13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9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Management consulting,</w:t>
            </w:r>
          </w:p>
        </w:tc>
        <w:tc>
          <w:tcPr>
            <w:tcW w:w="0" w:type="dxa"/>
            <w:vAlign w:val="bottom"/>
          </w:tcPr>
          <w:p>
            <w:pPr>
              <w:spacing w:after="0"/>
              <w:rPr>
                <w:sz w:val="1"/>
                <w:szCs w:val="1"/>
                <w:color w:val="auto"/>
              </w:rPr>
            </w:pPr>
          </w:p>
        </w:tc>
      </w:tr>
      <w:tr>
        <w:trPr>
          <w:trHeight w:val="193"/>
        </w:trPr>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Management Co., Ltd. (“Zhixuan</w:t>
            </w:r>
          </w:p>
        </w:tc>
        <w:tc>
          <w:tcPr>
            <w:tcW w:w="1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investment consulting</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Investment”)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April 20, 2016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PRC</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and financial consulting</w:t>
            </w:r>
          </w:p>
        </w:tc>
        <w:tc>
          <w:tcPr>
            <w:tcW w:w="0" w:type="dxa"/>
            <w:vAlign w:val="bottom"/>
          </w:tcPr>
          <w:p>
            <w:pPr>
              <w:spacing w:after="0"/>
              <w:rPr>
                <w:sz w:val="1"/>
                <w:szCs w:val="1"/>
                <w:color w:val="auto"/>
              </w:rPr>
            </w:pPr>
          </w:p>
        </w:tc>
      </w:tr>
      <w:tr>
        <w:trPr>
          <w:trHeight w:val="176"/>
        </w:trPr>
        <w:tc>
          <w:tcPr>
            <w:tcW w:w="30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Huize (Chengdu) Internet Technology Co.,</w:t>
            </w:r>
          </w:p>
        </w:tc>
        <w:tc>
          <w:tcPr>
            <w:tcW w:w="1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Ltd. (“Chengdu Huize”)</w:t>
            </w: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May 11, 2018</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PRC</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Technology development consulting service</w:t>
            </w:r>
          </w:p>
        </w:tc>
        <w:tc>
          <w:tcPr>
            <w:tcW w:w="0" w:type="dxa"/>
            <w:vAlign w:val="bottom"/>
          </w:tcPr>
          <w:p>
            <w:pPr>
              <w:spacing w:after="0"/>
              <w:rPr>
                <w:sz w:val="1"/>
                <w:szCs w:val="1"/>
                <w:color w:val="auto"/>
              </w:rPr>
            </w:pPr>
          </w:p>
        </w:tc>
      </w:tr>
      <w:tr>
        <w:trPr>
          <w:trHeight w:val="193"/>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Shenzhen Huibang Technology Co., Ltd</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August 13, 2020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PRC</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Technology development consulting service</w:t>
            </w:r>
          </w:p>
        </w:tc>
        <w:tc>
          <w:tcPr>
            <w:tcW w:w="0" w:type="dxa"/>
            <w:vAlign w:val="bottom"/>
          </w:tcPr>
          <w:p>
            <w:pPr>
              <w:spacing w:after="0"/>
              <w:rPr>
                <w:sz w:val="1"/>
                <w:szCs w:val="1"/>
                <w:color w:val="auto"/>
              </w:rPr>
            </w:pPr>
          </w:p>
        </w:tc>
      </w:tr>
      <w:tr>
        <w:trPr>
          <w:trHeight w:val="176"/>
        </w:trPr>
        <w:tc>
          <w:tcPr>
            <w:tcW w:w="30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Shenzhen Xiaoma Insurance Adjustment Co.</w:t>
            </w:r>
          </w:p>
        </w:tc>
        <w:tc>
          <w:tcPr>
            <w:tcW w:w="1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Ltd</w:t>
            </w: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July 2, 2021</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PRC</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Insurance claims adjustment service</w:t>
            </w:r>
          </w:p>
        </w:tc>
        <w:tc>
          <w:tcPr>
            <w:tcW w:w="0" w:type="dxa"/>
            <w:vAlign w:val="bottom"/>
          </w:tcPr>
          <w:p>
            <w:pPr>
              <w:spacing w:after="0"/>
              <w:rPr>
                <w:sz w:val="1"/>
                <w:szCs w:val="1"/>
                <w:color w:val="auto"/>
              </w:rPr>
            </w:pPr>
          </w:p>
        </w:tc>
      </w:tr>
      <w:tr>
        <w:trPr>
          <w:trHeight w:val="325"/>
        </w:trPr>
        <w:tc>
          <w:tcPr>
            <w:tcW w:w="3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jc w:val="right"/>
              <w:ind w:right="743"/>
              <w:spacing w:after="0"/>
              <w:rPr>
                <w:sz w:val="20"/>
                <w:szCs w:val="20"/>
                <w:color w:val="auto"/>
              </w:rPr>
            </w:pPr>
            <w:r>
              <w:rPr>
                <w:rFonts w:ascii="Times New Roman" w:cs="Times New Roman" w:eastAsia="Times New Roman" w:hAnsi="Times New Roman"/>
                <w:sz w:val="16"/>
                <w:szCs w:val="16"/>
                <w:color w:val="auto"/>
              </w:rPr>
              <w:t>F-15</w:t>
            </w:r>
          </w:p>
        </w:tc>
        <w:tc>
          <w:tcPr>
            <w:tcW w:w="10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320" w:top="447"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860" w:hanging="153"/>
        <w:spacing w:after="0"/>
        <w:tabs>
          <w:tab w:leader="none" w:pos="860" w:val="left"/>
        </w:tabs>
        <w:numPr>
          <w:ilvl w:val="0"/>
          <w:numId w:val="1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activities and reorganization (Continued)</w:t>
      </w:r>
    </w:p>
    <w:p>
      <w:pPr>
        <w:spacing w:after="0" w:line="105" w:lineRule="exact"/>
        <w:rPr>
          <w:rFonts w:ascii="Times New Roman" w:cs="Times New Roman" w:eastAsia="Times New Roman" w:hAnsi="Times New Roman"/>
          <w:sz w:val="16"/>
          <w:szCs w:val="16"/>
          <w:b w:val="1"/>
          <w:bCs w:val="1"/>
          <w:color w:val="auto"/>
        </w:rPr>
      </w:pPr>
    </w:p>
    <w:p>
      <w:pPr>
        <w:ind w:left="7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 History and Reorganization (Continued)</w:t>
      </w:r>
    </w:p>
    <w:p>
      <w:pPr>
        <w:spacing w:after="0" w:line="121"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8"/>
              </w:rPr>
              <w:t>Percentage of</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 of</w:t>
            </w:r>
          </w:p>
        </w:tc>
        <w:tc>
          <w:tcPr>
            <w:tcW w:w="1220" w:type="dxa"/>
            <w:vAlign w:val="bottom"/>
            <w:vMerge w:val="restart"/>
          </w:tcPr>
          <w:p>
            <w:pPr>
              <w:jc w:val="right"/>
              <w:ind w:right="327"/>
              <w:spacing w:after="0"/>
              <w:rPr>
                <w:sz w:val="20"/>
                <w:szCs w:val="20"/>
                <w:color w:val="auto"/>
              </w:rPr>
            </w:pPr>
            <w:r>
              <w:rPr>
                <w:rFonts w:ascii="Times New Roman" w:cs="Times New Roman" w:eastAsia="Times New Roman" w:hAnsi="Times New Roman"/>
                <w:sz w:val="13"/>
                <w:szCs w:val="13"/>
                <w:b w:val="1"/>
                <w:bCs w:val="1"/>
                <w:color w:val="auto"/>
              </w:rPr>
              <w:t>Place of</w:t>
            </w:r>
          </w:p>
        </w:tc>
        <w:tc>
          <w:tcPr>
            <w:tcW w:w="1260" w:type="dxa"/>
            <w:vAlign w:val="bottom"/>
          </w:tcPr>
          <w:p>
            <w:pPr>
              <w:jc w:val="center"/>
              <w:ind w:right="49"/>
              <w:spacing w:after="0" w:line="133" w:lineRule="exact"/>
              <w:rPr>
                <w:sz w:val="20"/>
                <w:szCs w:val="20"/>
                <w:color w:val="auto"/>
              </w:rPr>
            </w:pPr>
            <w:r>
              <w:rPr>
                <w:rFonts w:ascii="Times New Roman" w:cs="Times New Roman" w:eastAsia="Times New Roman" w:hAnsi="Times New Roman"/>
                <w:sz w:val="13"/>
                <w:szCs w:val="13"/>
                <w:b w:val="1"/>
                <w:bCs w:val="1"/>
                <w:color w:val="auto"/>
                <w:w w:val="99"/>
              </w:rPr>
              <w:t>Direct or</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60" w:type="dxa"/>
            <w:vAlign w:val="bottom"/>
          </w:tcPr>
          <w:p>
            <w:pPr>
              <w:jc w:val="center"/>
              <w:ind w:right="69"/>
              <w:spacing w:after="0" w:line="133" w:lineRule="exact"/>
              <w:rPr>
                <w:sz w:val="20"/>
                <w:szCs w:val="20"/>
                <w:color w:val="auto"/>
              </w:rPr>
            </w:pPr>
            <w:r>
              <w:rPr>
                <w:rFonts w:ascii="Times New Roman" w:cs="Times New Roman" w:eastAsia="Times New Roman" w:hAnsi="Times New Roman"/>
                <w:sz w:val="13"/>
                <w:szCs w:val="13"/>
                <w:b w:val="1"/>
                <w:bCs w:val="1"/>
                <w:color w:val="auto"/>
                <w:w w:val="98"/>
              </w:rPr>
              <w:t>Indirect</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15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7"/>
              </w:rPr>
              <w:t>Incorporation/</w:t>
            </w:r>
          </w:p>
        </w:tc>
        <w:tc>
          <w:tcPr>
            <w:tcW w:w="1220" w:type="dxa"/>
            <w:vAlign w:val="bottom"/>
          </w:tcPr>
          <w:p>
            <w:pPr>
              <w:jc w:val="right"/>
              <w:ind w:right="147"/>
              <w:spacing w:after="0" w:line="133" w:lineRule="exact"/>
              <w:rPr>
                <w:sz w:val="20"/>
                <w:szCs w:val="20"/>
                <w:color w:val="auto"/>
              </w:rPr>
            </w:pPr>
            <w:r>
              <w:rPr>
                <w:rFonts w:ascii="Times New Roman" w:cs="Times New Roman" w:eastAsia="Times New Roman" w:hAnsi="Times New Roman"/>
                <w:sz w:val="13"/>
                <w:szCs w:val="13"/>
                <w:b w:val="1"/>
                <w:bCs w:val="1"/>
                <w:color w:val="auto"/>
              </w:rPr>
              <w:t>Incorporation/</w:t>
            </w:r>
          </w:p>
        </w:tc>
        <w:tc>
          <w:tcPr>
            <w:tcW w:w="1260" w:type="dxa"/>
            <w:vAlign w:val="bottom"/>
          </w:tcPr>
          <w:p>
            <w:pPr>
              <w:jc w:val="center"/>
              <w:ind w:right="49"/>
              <w:spacing w:after="0" w:line="133" w:lineRule="exact"/>
              <w:rPr>
                <w:sz w:val="20"/>
                <w:szCs w:val="20"/>
                <w:color w:val="auto"/>
              </w:rPr>
            </w:pPr>
            <w:r>
              <w:rPr>
                <w:rFonts w:ascii="Times New Roman" w:cs="Times New Roman" w:eastAsia="Times New Roman" w:hAnsi="Times New Roman"/>
                <w:sz w:val="13"/>
                <w:szCs w:val="13"/>
                <w:b w:val="1"/>
                <w:bCs w:val="1"/>
                <w:color w:val="auto"/>
                <w:w w:val="98"/>
              </w:rPr>
              <w:t>Economic</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Principal Subsidiaries</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Establishment</w:t>
            </w:r>
          </w:p>
        </w:tc>
        <w:tc>
          <w:tcPr>
            <w:tcW w:w="1220" w:type="dxa"/>
            <w:vAlign w:val="bottom"/>
          </w:tcPr>
          <w:p>
            <w:pPr>
              <w:jc w:val="right"/>
              <w:ind w:right="147"/>
              <w:spacing w:after="0"/>
              <w:rPr>
                <w:sz w:val="20"/>
                <w:szCs w:val="20"/>
                <w:color w:val="auto"/>
              </w:rPr>
            </w:pPr>
            <w:r>
              <w:rPr>
                <w:rFonts w:ascii="Times New Roman" w:cs="Times New Roman" w:eastAsia="Times New Roman" w:hAnsi="Times New Roman"/>
                <w:sz w:val="13"/>
                <w:szCs w:val="13"/>
                <w:b w:val="1"/>
                <w:bCs w:val="1"/>
                <w:color w:val="auto"/>
              </w:rPr>
              <w:t>Establishment</w:t>
            </w:r>
          </w:p>
        </w:tc>
        <w:tc>
          <w:tcPr>
            <w:tcW w:w="12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680" w:type="dxa"/>
            <w:vAlign w:val="bottom"/>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Principal Activities</w:t>
            </w: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Shanghai Huiju Haoshi Information Technology</w:t>
            </w:r>
          </w:p>
        </w:tc>
        <w:tc>
          <w:tcPr>
            <w:tcW w:w="15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Internet information</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 Ltd</w:t>
            </w:r>
          </w:p>
        </w:tc>
        <w:tc>
          <w:tcPr>
            <w:tcW w:w="15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6"/>
                <w:szCs w:val="16"/>
                <w:color w:val="auto"/>
              </w:rPr>
              <w:t>October 12, 2021</w:t>
            </w:r>
          </w:p>
        </w:tc>
        <w:tc>
          <w:tcPr>
            <w:tcW w:w="122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6"/>
                <w:szCs w:val="16"/>
                <w:color w:val="auto"/>
              </w:rPr>
              <w:t>PRC</w:t>
            </w:r>
          </w:p>
        </w:tc>
        <w:tc>
          <w:tcPr>
            <w:tcW w:w="1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6"/>
                <w:szCs w:val="16"/>
                <w:color w:val="auto"/>
              </w:rPr>
              <w:t>80%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consulting service</w:t>
            </w:r>
          </w:p>
        </w:tc>
        <w:tc>
          <w:tcPr>
            <w:tcW w:w="0" w:type="dxa"/>
            <w:vAlign w:val="bottom"/>
          </w:tcPr>
          <w:p>
            <w:pPr>
              <w:spacing w:after="0"/>
              <w:rPr>
                <w:sz w:val="1"/>
                <w:szCs w:val="1"/>
                <w:color w:val="auto"/>
              </w:rPr>
            </w:pPr>
          </w:p>
        </w:tc>
      </w:tr>
      <w:tr>
        <w:trPr>
          <w:trHeight w:val="176"/>
        </w:trPr>
        <w:tc>
          <w:tcPr>
            <w:tcW w:w="33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Huize Yiyao (Chengdu) Internet Hospital Co.,</w:t>
            </w:r>
          </w:p>
        </w:tc>
        <w:tc>
          <w:tcPr>
            <w:tcW w:w="1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Medical and health</w:t>
            </w:r>
          </w:p>
        </w:tc>
        <w:tc>
          <w:tcPr>
            <w:tcW w:w="0" w:type="dxa"/>
            <w:vAlign w:val="bottom"/>
          </w:tcPr>
          <w:p>
            <w:pPr>
              <w:spacing w:after="0"/>
              <w:rPr>
                <w:sz w:val="1"/>
                <w:szCs w:val="1"/>
                <w:color w:val="auto"/>
              </w:rPr>
            </w:pPr>
          </w:p>
        </w:tc>
      </w:tr>
      <w:tr>
        <w:trPr>
          <w:trHeight w:val="209"/>
        </w:trPr>
        <w:tc>
          <w:tcPr>
            <w:tcW w:w="3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Ltd.</w:t>
            </w:r>
          </w:p>
        </w:tc>
        <w:tc>
          <w:tcPr>
            <w:tcW w:w="1560" w:type="dxa"/>
            <w:vAlign w:val="bottom"/>
          </w:tcPr>
          <w:p>
            <w:pPr>
              <w:jc w:val="right"/>
              <w:ind w:right="147"/>
              <w:spacing w:after="0"/>
              <w:rPr>
                <w:sz w:val="20"/>
                <w:szCs w:val="20"/>
                <w:color w:val="auto"/>
              </w:rPr>
            </w:pPr>
            <w:r>
              <w:rPr>
                <w:rFonts w:ascii="Times New Roman" w:cs="Times New Roman" w:eastAsia="Times New Roman" w:hAnsi="Times New Roman"/>
                <w:sz w:val="16"/>
                <w:szCs w:val="16"/>
                <w:color w:val="auto"/>
              </w:rPr>
              <w:t>October 27, 2021</w:t>
            </w:r>
          </w:p>
        </w:tc>
        <w:tc>
          <w:tcPr>
            <w:tcW w:w="1220" w:type="dxa"/>
            <w:vAlign w:val="bottom"/>
          </w:tcPr>
          <w:p>
            <w:pPr>
              <w:jc w:val="right"/>
              <w:ind w:right="147"/>
              <w:spacing w:after="0"/>
              <w:rPr>
                <w:sz w:val="20"/>
                <w:szCs w:val="20"/>
                <w:color w:val="auto"/>
              </w:rPr>
            </w:pPr>
            <w:r>
              <w:rPr>
                <w:rFonts w:ascii="Times New Roman" w:cs="Times New Roman" w:eastAsia="Times New Roman" w:hAnsi="Times New Roman"/>
                <w:sz w:val="16"/>
                <w:szCs w:val="16"/>
                <w:color w:val="auto"/>
              </w:rPr>
              <w:t>PRC</w:t>
            </w:r>
          </w:p>
        </w:tc>
        <w:tc>
          <w:tcPr>
            <w:tcW w:w="1260" w:type="dxa"/>
            <w:vAlign w:val="bottom"/>
          </w:tcPr>
          <w:p>
            <w:pPr>
              <w:jc w:val="right"/>
              <w:ind w:right="109"/>
              <w:spacing w:after="0"/>
              <w:rPr>
                <w:sz w:val="20"/>
                <w:szCs w:val="20"/>
                <w:color w:val="auto"/>
              </w:rPr>
            </w:pPr>
            <w:r>
              <w:rPr>
                <w:rFonts w:ascii="Times New Roman" w:cs="Times New Roman" w:eastAsia="Times New Roman" w:hAnsi="Times New Roman"/>
                <w:sz w:val="16"/>
                <w:szCs w:val="16"/>
                <w:color w:val="auto"/>
              </w:rPr>
              <w:t>100%</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consulting service</w:t>
            </w: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Shenzhen Detong Insurance Agency Co., Ltd.</w:t>
            </w:r>
          </w:p>
        </w:tc>
        <w:tc>
          <w:tcPr>
            <w:tcW w:w="15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(“Shenzhen Detong”, formerly known as</w:t>
            </w:r>
          </w:p>
        </w:tc>
        <w:tc>
          <w:tcPr>
            <w:tcW w:w="15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Insurance agency</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Shanghai Senhao Insurance Agency Co., Ltd)</w:t>
            </w:r>
          </w:p>
        </w:tc>
        <w:tc>
          <w:tcPr>
            <w:tcW w:w="15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6"/>
                <w:szCs w:val="16"/>
                <w:color w:val="auto"/>
              </w:rPr>
              <w:t>March 12, 2022</w:t>
            </w:r>
          </w:p>
        </w:tc>
        <w:tc>
          <w:tcPr>
            <w:tcW w:w="122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6"/>
                <w:szCs w:val="16"/>
                <w:color w:val="auto"/>
              </w:rPr>
              <w:t>PRC</w:t>
            </w:r>
          </w:p>
        </w:tc>
        <w:tc>
          <w:tcPr>
            <w:tcW w:w="1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6"/>
                <w:szCs w:val="16"/>
                <w:color w:val="auto"/>
              </w:rPr>
              <w:t>100%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service</w:t>
            </w:r>
          </w:p>
        </w:tc>
        <w:tc>
          <w:tcPr>
            <w:tcW w:w="0" w:type="dxa"/>
            <w:vAlign w:val="bottom"/>
          </w:tcPr>
          <w:p>
            <w:pPr>
              <w:spacing w:after="0"/>
              <w:rPr>
                <w:sz w:val="1"/>
                <w:szCs w:val="1"/>
                <w:color w:val="auto"/>
              </w:rPr>
            </w:pPr>
          </w:p>
        </w:tc>
      </w:tr>
      <w:tr>
        <w:trPr>
          <w:trHeight w:val="176"/>
        </w:trPr>
        <w:tc>
          <w:tcPr>
            <w:tcW w:w="33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Shenzhen Huize Business Management Co.,</w:t>
            </w:r>
          </w:p>
        </w:tc>
        <w:tc>
          <w:tcPr>
            <w:tcW w:w="1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Business management</w:t>
            </w:r>
          </w:p>
        </w:tc>
        <w:tc>
          <w:tcPr>
            <w:tcW w:w="0" w:type="dxa"/>
            <w:vAlign w:val="bottom"/>
          </w:tcPr>
          <w:p>
            <w:pPr>
              <w:spacing w:after="0"/>
              <w:rPr>
                <w:sz w:val="1"/>
                <w:szCs w:val="1"/>
                <w:color w:val="auto"/>
              </w:rPr>
            </w:pPr>
          </w:p>
        </w:tc>
      </w:tr>
      <w:tr>
        <w:trPr>
          <w:trHeight w:val="209"/>
        </w:trPr>
        <w:tc>
          <w:tcPr>
            <w:tcW w:w="3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Ltd.</w:t>
            </w:r>
          </w:p>
        </w:tc>
        <w:tc>
          <w:tcPr>
            <w:tcW w:w="1560" w:type="dxa"/>
            <w:vAlign w:val="bottom"/>
          </w:tcPr>
          <w:p>
            <w:pPr>
              <w:jc w:val="right"/>
              <w:ind w:right="147"/>
              <w:spacing w:after="0"/>
              <w:rPr>
                <w:sz w:val="20"/>
                <w:szCs w:val="20"/>
                <w:color w:val="auto"/>
              </w:rPr>
            </w:pPr>
            <w:r>
              <w:rPr>
                <w:rFonts w:ascii="Times New Roman" w:cs="Times New Roman" w:eastAsia="Times New Roman" w:hAnsi="Times New Roman"/>
                <w:sz w:val="16"/>
                <w:szCs w:val="16"/>
                <w:color w:val="auto"/>
              </w:rPr>
              <w:t>July 5, 2022</w:t>
            </w:r>
          </w:p>
        </w:tc>
        <w:tc>
          <w:tcPr>
            <w:tcW w:w="1220" w:type="dxa"/>
            <w:vAlign w:val="bottom"/>
          </w:tcPr>
          <w:p>
            <w:pPr>
              <w:jc w:val="right"/>
              <w:ind w:right="147"/>
              <w:spacing w:after="0"/>
              <w:rPr>
                <w:sz w:val="20"/>
                <w:szCs w:val="20"/>
                <w:color w:val="auto"/>
              </w:rPr>
            </w:pPr>
            <w:r>
              <w:rPr>
                <w:rFonts w:ascii="Times New Roman" w:cs="Times New Roman" w:eastAsia="Times New Roman" w:hAnsi="Times New Roman"/>
                <w:sz w:val="16"/>
                <w:szCs w:val="16"/>
                <w:color w:val="auto"/>
              </w:rPr>
              <w:t>PRC</w:t>
            </w:r>
          </w:p>
        </w:tc>
        <w:tc>
          <w:tcPr>
            <w:tcW w:w="1260" w:type="dxa"/>
            <w:vAlign w:val="bottom"/>
          </w:tcPr>
          <w:p>
            <w:pPr>
              <w:jc w:val="right"/>
              <w:ind w:right="109"/>
              <w:spacing w:after="0"/>
              <w:rPr>
                <w:sz w:val="20"/>
                <w:szCs w:val="20"/>
                <w:color w:val="auto"/>
              </w:rPr>
            </w:pPr>
            <w:r>
              <w:rPr>
                <w:rFonts w:ascii="Times New Roman" w:cs="Times New Roman" w:eastAsia="Times New Roman" w:hAnsi="Times New Roman"/>
                <w:sz w:val="16"/>
                <w:szCs w:val="16"/>
                <w:color w:val="auto"/>
              </w:rPr>
              <w:t>100%</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and catering service</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860" w:hanging="153"/>
        <w:spacing w:after="0"/>
        <w:tabs>
          <w:tab w:leader="none" w:pos="860" w:val="left"/>
        </w:tabs>
        <w:numPr>
          <w:ilvl w:val="0"/>
          <w:numId w:val="1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105" w:lineRule="exact"/>
        <w:rPr>
          <w:rFonts w:ascii="Times New Roman" w:cs="Times New Roman" w:eastAsia="Times New Roman" w:hAnsi="Times New Roman"/>
          <w:sz w:val="16"/>
          <w:szCs w:val="16"/>
          <w:b w:val="1"/>
          <w:bCs w:val="1"/>
          <w:color w:val="auto"/>
        </w:rPr>
      </w:pPr>
    </w:p>
    <w:p>
      <w:pPr>
        <w:ind w:left="7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 Basis of presentation</w:t>
      </w:r>
    </w:p>
    <w:p>
      <w:pPr>
        <w:spacing w:after="0" w:line="107"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The Group’s consolidated financial statements for the years ended December 31, 2020, 2021 and 2022 are prepared in accordance with accounting principles generally accepted in the United States of America (“U.S. GAAP”). The preparation of financial statements in conformity with U.S. GAAP requires management to make estimates and assumptions that affect the amounts reported in the accompanying consolidated financial statements and related disclosures. Actual results may differ from those estimates. Significant accounting policies followed by the Group in the preparation of the accompanying consolidated financial statements are summarized below.</w:t>
      </w:r>
    </w:p>
    <w:p>
      <w:pPr>
        <w:spacing w:after="0" w:line="116" w:lineRule="exact"/>
        <w:rPr>
          <w:sz w:val="20"/>
          <w:szCs w:val="20"/>
          <w:color w:val="auto"/>
        </w:rPr>
      </w:pPr>
    </w:p>
    <w:p>
      <w:pPr>
        <w:ind w:left="700" w:right="100" w:firstLine="393"/>
        <w:spacing w:after="0" w:line="284" w:lineRule="auto"/>
        <w:rPr>
          <w:sz w:val="20"/>
          <w:szCs w:val="20"/>
          <w:color w:val="auto"/>
        </w:rPr>
      </w:pPr>
      <w:r>
        <w:rPr>
          <w:rFonts w:ascii="Times New Roman" w:cs="Times New Roman" w:eastAsia="Times New Roman" w:hAnsi="Times New Roman"/>
          <w:sz w:val="16"/>
          <w:szCs w:val="16"/>
          <w:color w:val="auto"/>
        </w:rPr>
        <w:t>As an emerging growth company, the Company elects to use the extended transition year for complying with new or revised financial accounting standards.</w:t>
      </w:r>
    </w:p>
    <w:p>
      <w:pPr>
        <w:spacing w:after="0" w:line="2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(b) Basis of consolidation</w:t>
      </w:r>
    </w:p>
    <w:p>
      <w:pPr>
        <w:spacing w:after="0" w:line="107" w:lineRule="exact"/>
        <w:rPr>
          <w:sz w:val="20"/>
          <w:szCs w:val="20"/>
          <w:color w:val="auto"/>
        </w:rPr>
      </w:pPr>
    </w:p>
    <w:p>
      <w:pPr>
        <w:ind w:left="700" w:right="360" w:firstLine="393"/>
        <w:spacing w:after="0" w:line="284" w:lineRule="auto"/>
        <w:rPr>
          <w:sz w:val="20"/>
          <w:szCs w:val="20"/>
          <w:color w:val="auto"/>
        </w:rPr>
      </w:pPr>
      <w:r>
        <w:rPr>
          <w:rFonts w:ascii="Times New Roman" w:cs="Times New Roman" w:eastAsia="Times New Roman" w:hAnsi="Times New Roman"/>
          <w:sz w:val="16"/>
          <w:szCs w:val="16"/>
          <w:color w:val="auto"/>
        </w:rPr>
        <w:t>The consolidated financial statements include the financial statements of the Company, its subsidiaries and a consolidated VIE, including the VIE’s subsidiaries, for which the Company is the ultimate primary beneficiary.</w:t>
      </w:r>
    </w:p>
    <w:p>
      <w:pPr>
        <w:spacing w:after="0" w:line="95" w:lineRule="exact"/>
        <w:rPr>
          <w:sz w:val="20"/>
          <w:szCs w:val="20"/>
          <w:color w:val="auto"/>
        </w:rPr>
      </w:pPr>
    </w:p>
    <w:p>
      <w:pPr>
        <w:ind w:left="700" w:right="20" w:firstLine="393"/>
        <w:spacing w:after="0" w:line="267" w:lineRule="auto"/>
        <w:rPr>
          <w:sz w:val="20"/>
          <w:szCs w:val="20"/>
          <w:color w:val="auto"/>
        </w:rPr>
      </w:pPr>
      <w:r>
        <w:rPr>
          <w:rFonts w:ascii="Times New Roman" w:cs="Times New Roman" w:eastAsia="Times New Roman" w:hAnsi="Times New Roman"/>
          <w:sz w:val="16"/>
          <w:szCs w:val="16"/>
          <w:color w:val="auto"/>
        </w:rPr>
        <w:t>A subsidiary is an entity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w:t>
      </w:r>
    </w:p>
    <w:p>
      <w:pPr>
        <w:spacing w:after="0" w:line="109" w:lineRule="exact"/>
        <w:rPr>
          <w:sz w:val="20"/>
          <w:szCs w:val="20"/>
          <w:color w:val="auto"/>
        </w:rPr>
      </w:pPr>
    </w:p>
    <w:p>
      <w:pPr>
        <w:ind w:left="700" w:right="60" w:firstLine="393"/>
        <w:spacing w:after="0" w:line="267" w:lineRule="auto"/>
        <w:rPr>
          <w:sz w:val="20"/>
          <w:szCs w:val="20"/>
          <w:color w:val="auto"/>
        </w:rPr>
      </w:pPr>
      <w:r>
        <w:rPr>
          <w:rFonts w:ascii="Times New Roman" w:cs="Times New Roman" w:eastAsia="Times New Roman" w:hAnsi="Times New Roman"/>
          <w:sz w:val="16"/>
          <w:szCs w:val="16"/>
          <w:color w:val="auto"/>
        </w:rPr>
        <w:t>A consolidated VIE is an entity in which the Company, or its subsidiaries, through contractual arrangements, has the power to direct the activities that most significantly impact the entity’s economic performance, bears the risks of and enjoys the rewards normally associated with ownership of the entity, and therefore the Company or one of its subsidiaries is the primary beneficiary of the entity.</w:t>
      </w:r>
    </w:p>
    <w:p>
      <w:pPr>
        <w:spacing w:after="0" w:line="1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All transactions and balances among the Company, its subsidiaries, the VIE and the VIE’s subsidiaries have been eliminated upon consolidation.</w:t>
      </w:r>
    </w:p>
    <w:p>
      <w:pPr>
        <w:spacing w:after="0" w:line="153" w:lineRule="exact"/>
        <w:rPr>
          <w:sz w:val="20"/>
          <w:szCs w:val="20"/>
          <w:color w:val="auto"/>
        </w:rPr>
      </w:pPr>
    </w:p>
    <w:p>
      <w:pPr>
        <w:ind w:left="700" w:right="340" w:firstLine="393"/>
        <w:spacing w:after="0" w:line="284" w:lineRule="auto"/>
        <w:rPr>
          <w:sz w:val="20"/>
          <w:szCs w:val="20"/>
          <w:color w:val="auto"/>
        </w:rPr>
      </w:pPr>
      <w:r>
        <w:rPr>
          <w:rFonts w:ascii="Times New Roman" w:cs="Times New Roman" w:eastAsia="Times New Roman" w:hAnsi="Times New Roman"/>
          <w:sz w:val="16"/>
          <w:szCs w:val="16"/>
          <w:color w:val="auto"/>
        </w:rPr>
        <w:t>The following is a summary of the contractual agreements (collectively, “Contractual Agreements”) between the Company’s PRC subsidiary, Zhixuan and the VIE, Huiye Tianze. Through the Contractual Agreements, the VIE is effectively controlled by the Company.</w:t>
      </w:r>
    </w:p>
    <w:p>
      <w:pPr>
        <w:spacing w:after="0" w:line="93" w:lineRule="exact"/>
        <w:rPr>
          <w:sz w:val="20"/>
          <w:szCs w:val="20"/>
          <w:color w:val="auto"/>
        </w:rPr>
      </w:pPr>
    </w:p>
    <w:p>
      <w:pPr>
        <w:ind w:left="700" w:right="20" w:firstLine="393"/>
        <w:spacing w:after="0" w:line="258" w:lineRule="auto"/>
        <w:rPr>
          <w:sz w:val="20"/>
          <w:szCs w:val="20"/>
          <w:color w:val="auto"/>
        </w:rPr>
      </w:pPr>
      <w:r>
        <w:rPr>
          <w:rFonts w:ascii="Times New Roman" w:cs="Times New Roman" w:eastAsia="Times New Roman" w:hAnsi="Times New Roman"/>
          <w:sz w:val="16"/>
          <w:szCs w:val="16"/>
          <w:i w:val="1"/>
          <w:iCs w:val="1"/>
          <w:u w:val="single" w:color="auto"/>
          <w:color w:val="auto"/>
        </w:rPr>
        <w:t>Exclusive Business Cooperation Agreement</w:t>
      </w:r>
      <w:r>
        <w:rPr>
          <w:rFonts w:ascii="Times New Roman" w:cs="Times New Roman" w:eastAsia="Times New Roman" w:hAnsi="Times New Roman"/>
          <w:sz w:val="16"/>
          <w:szCs w:val="16"/>
          <w:color w:val="auto"/>
        </w:rPr>
        <w:t>: Under the exclusive business cooperation agreement, Zhixuan has the exclusive right to provide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Huiye Tianze and its subsidiaries with technical support, consulting services and other services. Reciprocally, Huiye Tianze and its subsidiaries shall not accept any technical support, consulting services and other services from any third parties. In exchange, Zhixuan is entitled to receive a service fee from Huiye Tianze on a monthly basis and in an amount equal to all of its net income. Zhixuan owns the intellectual property rights arising out of the performance of the exclusive business cooperation agreement. Unless otherwise agreed by the parties, this agreement will remain effective for a maximum term allowed under PRC law and may be extended from time to time by Zhixuan at its determination.</w:t>
      </w:r>
    </w:p>
    <w:p>
      <w:pPr>
        <w:spacing w:after="0" w:line="115" w:lineRule="exact"/>
        <w:rPr>
          <w:sz w:val="20"/>
          <w:szCs w:val="20"/>
          <w:color w:val="auto"/>
        </w:rPr>
      </w:pPr>
    </w:p>
    <w:p>
      <w:pPr>
        <w:ind w:left="700" w:right="40" w:firstLine="393"/>
        <w:spacing w:after="0" w:line="263" w:lineRule="auto"/>
        <w:rPr>
          <w:sz w:val="20"/>
          <w:szCs w:val="20"/>
          <w:color w:val="auto"/>
        </w:rPr>
      </w:pPr>
      <w:r>
        <w:rPr>
          <w:rFonts w:ascii="Times New Roman" w:cs="Times New Roman" w:eastAsia="Times New Roman" w:hAnsi="Times New Roman"/>
          <w:sz w:val="16"/>
          <w:szCs w:val="16"/>
          <w:i w:val="1"/>
          <w:iCs w:val="1"/>
          <w:u w:val="single" w:color="auto"/>
          <w:color w:val="auto"/>
        </w:rPr>
        <w:t>Exclusive Option Agreement</w:t>
      </w:r>
      <w:r>
        <w:rPr>
          <w:rFonts w:ascii="Times New Roman" w:cs="Times New Roman" w:eastAsia="Times New Roman" w:hAnsi="Times New Roman"/>
          <w:sz w:val="16"/>
          <w:szCs w:val="16"/>
          <w:color w:val="auto"/>
        </w:rPr>
        <w:t>: Pursuant to the exclusive option agreement, Huiye Tianze and each of its subsidiaries have irrevocably granted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Zhixuan an exclusive option to purchase, or have its designated person or persons to purchase, at its discretion at any time, to the extent permitted under PRC law, all or part of their assets and business in the applicable entities. As for the consideration, the purchase price should be equal to the minimum price as permitted by PRC law.</w:t>
      </w:r>
    </w:p>
    <w:p>
      <w:pPr>
        <w:spacing w:after="0" w:line="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F-16</w:t>
      </w:r>
    </w:p>
    <w:p>
      <w:pPr>
        <w:sectPr>
          <w:pgSz w:w="11900" w:h="16838" w:orient="portrait"/>
          <w:cols w:equalWidth="0" w:num="1">
            <w:col w:w="10520"/>
          </w:cols>
          <w:pgMar w:left="320" w:top="447" w:right="10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860" w:hanging="153"/>
        <w:spacing w:after="0"/>
        <w:tabs>
          <w:tab w:leader="none" w:pos="860" w:val="left"/>
        </w:tabs>
        <w:numPr>
          <w:ilvl w:val="0"/>
          <w:numId w:val="1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05" w:lineRule="exact"/>
        <w:rPr>
          <w:rFonts w:ascii="Times New Roman" w:cs="Times New Roman" w:eastAsia="Times New Roman" w:hAnsi="Times New Roman"/>
          <w:sz w:val="16"/>
          <w:szCs w:val="16"/>
          <w:b w:val="1"/>
          <w:bCs w:val="1"/>
          <w:color w:val="auto"/>
        </w:rPr>
      </w:pPr>
    </w:p>
    <w:p>
      <w:pPr>
        <w:ind w:left="7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 Basis of consolidation (Continued)</w:t>
      </w:r>
    </w:p>
    <w:p>
      <w:pPr>
        <w:spacing w:after="0" w:line="143" w:lineRule="exact"/>
        <w:rPr>
          <w:sz w:val="20"/>
          <w:szCs w:val="20"/>
          <w:color w:val="auto"/>
        </w:rPr>
      </w:pPr>
    </w:p>
    <w:p>
      <w:pPr>
        <w:jc w:val="both"/>
        <w:ind w:left="700" w:right="100" w:firstLine="393"/>
        <w:spacing w:after="0" w:line="267" w:lineRule="auto"/>
        <w:rPr>
          <w:sz w:val="20"/>
          <w:szCs w:val="20"/>
          <w:color w:val="auto"/>
        </w:rPr>
      </w:pPr>
      <w:r>
        <w:rPr>
          <w:rFonts w:ascii="Times New Roman" w:cs="Times New Roman" w:eastAsia="Times New Roman" w:hAnsi="Times New Roman"/>
          <w:sz w:val="16"/>
          <w:szCs w:val="16"/>
          <w:color w:val="auto"/>
        </w:rPr>
        <w:t>Pursuant to the exclusive option agreements, each shareholder of Huiye Tianze has irrevocably granted Zhixuan an exclusive option to purchase, or have its designated person or persons to purchase, at its discretion at any time, to the extent permitted under PRC law, all or part of their current and future shares in Huiye Tianze. As for the consideration, the purchase price should be equal to the minimum price as permitted by PRC law.</w:t>
      </w:r>
    </w:p>
    <w:p>
      <w:pPr>
        <w:spacing w:after="0" w:line="155" w:lineRule="exact"/>
        <w:rPr>
          <w:sz w:val="20"/>
          <w:szCs w:val="20"/>
          <w:color w:val="auto"/>
        </w:rPr>
      </w:pPr>
    </w:p>
    <w:p>
      <w:pPr>
        <w:ind w:left="700" w:right="40" w:firstLine="393"/>
        <w:spacing w:after="0" w:line="255" w:lineRule="auto"/>
        <w:rPr>
          <w:sz w:val="20"/>
          <w:szCs w:val="20"/>
          <w:color w:val="auto"/>
        </w:rPr>
      </w:pPr>
      <w:r>
        <w:rPr>
          <w:rFonts w:ascii="Times New Roman" w:cs="Times New Roman" w:eastAsia="Times New Roman" w:hAnsi="Times New Roman"/>
          <w:sz w:val="16"/>
          <w:szCs w:val="16"/>
          <w:i w:val="1"/>
          <w:iCs w:val="1"/>
          <w:u w:val="single" w:color="auto"/>
          <w:color w:val="auto"/>
        </w:rPr>
        <w:t>Share Pledge Agreements</w:t>
      </w:r>
      <w:r>
        <w:rPr>
          <w:rFonts w:ascii="Times New Roman" w:cs="Times New Roman" w:eastAsia="Times New Roman" w:hAnsi="Times New Roman"/>
          <w:sz w:val="16"/>
          <w:szCs w:val="16"/>
          <w:color w:val="auto"/>
        </w:rPr>
        <w:t>: Concurrent with the exclusive option agreements and pursuant to the share pledge agreements, the shareholders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Huiye Tianze have pledged all of their equity interest in Huiye Tianze as a continuing first priority security interest, as applicable, to respectively guarantee the VIE’s performance of their obligations under the exclusive business cooperation agreement between Huiye Tianze and Zhixuan. If Huiye Tianze or any of its shareholders breach their contractual obligations under these agreements, Zhixuan, as pledgee, will be entitled to certain rights regarding the pledged equity interests. In the event of such breaches, Zhixuan’s rights include forcing the disposition or sale of all or part of the pledged equity interests of the applicable VIE and receiving proceeds from such auction or sale in accordance with PRC law. Each of the shareholders of Huiye Tianze agrees that, during the term of the applicable share pledge agreement, such shareholder will not dispose of the pledged equity interests or create or allow creation of any encumbrance on the pledged equity interests without the prior written consent of Zhixuan. Zhixuan is entitled to all dividends declared by Huiye Tianze. Each share pledge agreement will remain effective until the applicable VIE discharges all its obligations under the exclusive business cooperation agreement.</w:t>
      </w:r>
    </w:p>
    <w:p>
      <w:pPr>
        <w:spacing w:after="0" w:line="166" w:lineRule="exact"/>
        <w:rPr>
          <w:sz w:val="20"/>
          <w:szCs w:val="20"/>
          <w:color w:val="auto"/>
        </w:rPr>
      </w:pPr>
    </w:p>
    <w:p>
      <w:pPr>
        <w:ind w:left="700" w:firstLine="393"/>
        <w:spacing w:after="0" w:line="263" w:lineRule="auto"/>
        <w:rPr>
          <w:sz w:val="20"/>
          <w:szCs w:val="20"/>
          <w:color w:val="auto"/>
        </w:rPr>
      </w:pPr>
      <w:r>
        <w:rPr>
          <w:rFonts w:ascii="Times New Roman" w:cs="Times New Roman" w:eastAsia="Times New Roman" w:hAnsi="Times New Roman"/>
          <w:sz w:val="16"/>
          <w:szCs w:val="16"/>
          <w:i w:val="1"/>
          <w:iCs w:val="1"/>
          <w:u w:val="single" w:color="auto"/>
          <w:color w:val="auto"/>
        </w:rPr>
        <w:t>Power of Attorney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Pursuant to each power of attorney, each shareholder of Huiye Tianze has irrevocably appointed Zhixuan to act as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shareholder’s exclusive attorney-in-fact to exercise all shareholder rights, including the right to attend and vote on shareholder’s meetings, appoint directors and executive officers and sell or dispose all or part of the equity interests owned by such shareholder in Huiye Tianze. Each power of attorney will remain in force for so long as the shareholder remains a shareholder of the applicable VIE.</w:t>
      </w:r>
    </w:p>
    <w:p>
      <w:pPr>
        <w:spacing w:after="0" w:line="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F-17</w:t>
      </w:r>
    </w:p>
    <w:p>
      <w:pPr>
        <w:sectPr>
          <w:pgSz w:w="11900" w:h="16838" w:orient="portrait"/>
          <w:cols w:equalWidth="0" w:num="1">
            <w:col w:w="10500"/>
          </w:cols>
          <w:pgMar w:left="320" w:top="447" w:right="10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860" w:hanging="153"/>
        <w:spacing w:after="0"/>
        <w:tabs>
          <w:tab w:leader="none" w:pos="860" w:val="left"/>
        </w:tabs>
        <w:numPr>
          <w:ilvl w:val="0"/>
          <w:numId w:val="1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05" w:lineRule="exact"/>
        <w:rPr>
          <w:rFonts w:ascii="Times New Roman" w:cs="Times New Roman" w:eastAsia="Times New Roman" w:hAnsi="Times New Roman"/>
          <w:sz w:val="16"/>
          <w:szCs w:val="16"/>
          <w:b w:val="1"/>
          <w:bCs w:val="1"/>
          <w:color w:val="auto"/>
        </w:rPr>
      </w:pPr>
    </w:p>
    <w:p>
      <w:pPr>
        <w:ind w:left="7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 Basis of consolidation (Continued)</w:t>
      </w:r>
    </w:p>
    <w:p>
      <w:pPr>
        <w:spacing w:after="0" w:line="143" w:lineRule="exact"/>
        <w:rPr>
          <w:sz w:val="20"/>
          <w:szCs w:val="20"/>
          <w:color w:val="auto"/>
        </w:rPr>
      </w:pPr>
    </w:p>
    <w:p>
      <w:pPr>
        <w:ind w:left="1100" w:firstLine="377"/>
        <w:spacing w:after="0" w:line="267" w:lineRule="auto"/>
        <w:rPr>
          <w:sz w:val="20"/>
          <w:szCs w:val="20"/>
          <w:color w:val="auto"/>
        </w:rPr>
      </w:pPr>
      <w:r>
        <w:rPr>
          <w:rFonts w:ascii="Times New Roman" w:cs="Times New Roman" w:eastAsia="Times New Roman" w:hAnsi="Times New Roman"/>
          <w:sz w:val="16"/>
          <w:szCs w:val="16"/>
          <w:color w:val="auto"/>
        </w:rPr>
        <w:t>The following table sets forth the assets, liabilities, results of operations and cash flows of Huiye Tianze and its subsidiaries, which are included in the Group’s consolidated financial statements. Transactions between the VIE and its subsidiaries are eliminated in the balances presented below:</w:t>
      </w:r>
    </w:p>
    <w:p>
      <w:pPr>
        <w:spacing w:after="0" w:line="2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Selected Condensed Consolidated Balance Sheets Information</w:t>
      </w:r>
    </w:p>
    <w:p>
      <w:pPr>
        <w:spacing w:after="0" w:line="224"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4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As of</w:t>
            </w:r>
          </w:p>
        </w:tc>
      </w:tr>
      <w:tr>
        <w:trPr>
          <w:trHeight w:val="125"/>
        </w:trPr>
        <w:tc>
          <w:tcPr>
            <w:tcW w:w="4840" w:type="dxa"/>
            <w:vAlign w:val="bottom"/>
          </w:tcPr>
          <w:p>
            <w:pPr>
              <w:spacing w:after="0"/>
              <w:rPr>
                <w:sz w:val="10"/>
                <w:szCs w:val="10"/>
                <w:color w:val="auto"/>
              </w:rPr>
            </w:pPr>
          </w:p>
        </w:tc>
        <w:tc>
          <w:tcPr>
            <w:tcW w:w="108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3"/>
                <w:szCs w:val="13"/>
                <w:color w:val="auto"/>
              </w:rPr>
              <w:t>December 31, 2021</w:t>
            </w:r>
          </w:p>
        </w:tc>
        <w:tc>
          <w:tcPr>
            <w:tcW w:w="5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w w:val="95"/>
              </w:rPr>
              <w:t>December 31, 2022</w:t>
            </w:r>
          </w:p>
        </w:tc>
        <w:tc>
          <w:tcPr>
            <w:tcW w:w="40" w:type="dxa"/>
            <w:vAlign w:val="bottom"/>
          </w:tcPr>
          <w:p>
            <w:pPr>
              <w:spacing w:after="0"/>
              <w:rPr>
                <w:sz w:val="10"/>
                <w:szCs w:val="10"/>
                <w:color w:val="auto"/>
              </w:rPr>
            </w:pPr>
          </w:p>
        </w:tc>
      </w:tr>
      <w:tr>
        <w:trPr>
          <w:trHeight w:val="125"/>
        </w:trPr>
        <w:tc>
          <w:tcPr>
            <w:tcW w:w="4840" w:type="dxa"/>
            <w:vAlign w:val="bottom"/>
          </w:tcPr>
          <w:p>
            <w:pPr>
              <w:spacing w:after="0"/>
              <w:rPr>
                <w:sz w:val="10"/>
                <w:szCs w:val="10"/>
                <w:color w:val="auto"/>
              </w:rPr>
            </w:pPr>
          </w:p>
        </w:tc>
        <w:tc>
          <w:tcPr>
            <w:tcW w:w="1020" w:type="dxa"/>
            <w:vAlign w:val="bottom"/>
            <w:tcBorders>
              <w:top w:val="single" w:sz="8" w:color="auto"/>
            </w:tcBorders>
          </w:tcPr>
          <w:p>
            <w:pPr>
              <w:jc w:val="right"/>
              <w:ind w:right="301"/>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Borders>
              <w:top w:val="single" w:sz="8" w:color="auto"/>
            </w:tcBorders>
          </w:tcPr>
          <w:p>
            <w:pPr>
              <w:jc w:val="right"/>
              <w:ind w:right="304"/>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40" w:type="dxa"/>
            <w:vAlign w:val="bottom"/>
          </w:tcPr>
          <w:p>
            <w:pPr>
              <w:spacing w:after="0"/>
              <w:rPr>
                <w:sz w:val="10"/>
                <w:szCs w:val="10"/>
                <w:color w:val="auto"/>
              </w:rPr>
            </w:pPr>
          </w:p>
        </w:tc>
      </w:tr>
      <w:tr>
        <w:trPr>
          <w:trHeight w:val="19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3"/>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3"/>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323,011</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205,781</w:t>
            </w:r>
          </w:p>
        </w:tc>
      </w:tr>
      <w:tr>
        <w:trPr>
          <w:trHeight w:val="193"/>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127,315</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55,458</w:t>
            </w:r>
          </w:p>
        </w:tc>
      </w:tr>
      <w:tr>
        <w:trPr>
          <w:trHeight w:val="193"/>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assets, net of allowance for doubtful accounts</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49,888</w:t>
            </w:r>
          </w:p>
        </w:tc>
      </w:tr>
      <w:tr>
        <w:trPr>
          <w:trHeight w:val="193"/>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 receivable, net of allowance for impairment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777,055</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250,238</w:t>
            </w:r>
          </w:p>
        </w:tc>
      </w:tr>
      <w:tr>
        <w:trPr>
          <w:trHeight w:val="193"/>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Insurance premium receivables</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1,217</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1,792</w:t>
            </w:r>
          </w:p>
        </w:tc>
      </w:tr>
      <w:tr>
        <w:trPr>
          <w:trHeight w:val="193"/>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Amount due from related parties</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340</w:t>
            </w:r>
          </w:p>
        </w:tc>
      </w:tr>
      <w:tr>
        <w:trPr>
          <w:trHeight w:val="193"/>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 and other receivables</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106,865</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96,987</w:t>
            </w:r>
          </w:p>
        </w:tc>
      </w:tr>
      <w:tr>
        <w:trPr>
          <w:trHeight w:val="201"/>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1,335,463</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660,484</w:t>
            </w:r>
          </w:p>
        </w:tc>
        <w:tc>
          <w:tcPr>
            <w:tcW w:w="40" w:type="dxa"/>
            <w:vAlign w:val="bottom"/>
          </w:tcPr>
          <w:p>
            <w:pPr>
              <w:spacing w:after="0"/>
              <w:rPr>
                <w:sz w:val="17"/>
                <w:szCs w:val="17"/>
                <w:color w:val="auto"/>
              </w:rPr>
            </w:pPr>
          </w:p>
        </w:tc>
      </w:tr>
      <w:tr>
        <w:trPr>
          <w:trHeight w:val="19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3"/>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24,680</w:t>
            </w:r>
          </w:p>
        </w:tc>
        <w:tc>
          <w:tcPr>
            <w:tcW w:w="50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assets, net of allowance for doubtful accounts</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6,634</w:t>
            </w:r>
          </w:p>
        </w:tc>
      </w:tr>
      <w:tr>
        <w:trPr>
          <w:trHeight w:val="193"/>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47,800</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38,133</w:t>
            </w:r>
          </w:p>
        </w:tc>
      </w:tr>
      <w:tr>
        <w:trPr>
          <w:trHeight w:val="193"/>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Intangible assets, net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18,979</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50,851</w:t>
            </w:r>
          </w:p>
        </w:tc>
      </w:tr>
      <w:tr>
        <w:trPr>
          <w:trHeight w:val="193"/>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tax assets</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605</w:t>
            </w:r>
          </w:p>
        </w:tc>
        <w:tc>
          <w:tcPr>
            <w:tcW w:w="50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Long-term investments</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59,450</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66,250</w:t>
            </w:r>
          </w:p>
        </w:tc>
      </w:tr>
      <w:tr>
        <w:trPr>
          <w:trHeight w:val="193"/>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241,880</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162,180</w:t>
            </w:r>
          </w:p>
        </w:tc>
      </w:tr>
      <w:tr>
        <w:trPr>
          <w:trHeight w:val="193"/>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461</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461</w:t>
            </w:r>
          </w:p>
        </w:tc>
      </w:tr>
      <w:tr>
        <w:trPr>
          <w:trHeight w:val="197"/>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Assets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40" w:type="dxa"/>
            <w:vAlign w:val="bottom"/>
          </w:tcPr>
          <w:p>
            <w:pPr>
              <w:spacing w:after="0"/>
              <w:rPr>
                <w:sz w:val="17"/>
                <w:szCs w:val="17"/>
                <w:color w:val="auto"/>
              </w:rPr>
            </w:pPr>
          </w:p>
        </w:tc>
      </w:tr>
      <w:tr>
        <w:trPr>
          <w:trHeight w:val="19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394,234</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324,788</w:t>
            </w:r>
          </w:p>
        </w:tc>
      </w:tr>
      <w:tr>
        <w:trPr>
          <w:trHeight w:val="197"/>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1,729,697</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985,272</w:t>
            </w:r>
          </w:p>
        </w:tc>
        <w:tc>
          <w:tcPr>
            <w:tcW w:w="40" w:type="dxa"/>
            <w:vAlign w:val="bottom"/>
          </w:tcPr>
          <w:p>
            <w:pPr>
              <w:spacing w:after="0"/>
              <w:rPr>
                <w:sz w:val="17"/>
                <w:szCs w:val="17"/>
                <w:color w:val="auto"/>
              </w:rPr>
            </w:pPr>
          </w:p>
        </w:tc>
      </w:tr>
      <w:tr>
        <w:trPr>
          <w:trHeight w:val="329"/>
        </w:trPr>
        <w:tc>
          <w:tcPr>
            <w:tcW w:w="4840" w:type="dxa"/>
            <w:vAlign w:val="bottom"/>
          </w:tcPr>
          <w:p>
            <w:pPr>
              <w:ind w:left="3600"/>
              <w:spacing w:after="0"/>
              <w:rPr>
                <w:sz w:val="20"/>
                <w:szCs w:val="20"/>
                <w:color w:val="auto"/>
              </w:rPr>
            </w:pPr>
            <w:r>
              <w:rPr>
                <w:rFonts w:ascii="Times New Roman" w:cs="Times New Roman" w:eastAsia="Times New Roman" w:hAnsi="Times New Roman"/>
                <w:sz w:val="16"/>
                <w:szCs w:val="16"/>
                <w:color w:val="auto"/>
              </w:rPr>
              <w:t>F-18</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40"/>
          </w:cols>
          <w:pgMar w:left="320" w:top="447" w:right="1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860" w:hanging="153"/>
        <w:spacing w:after="0"/>
        <w:tabs>
          <w:tab w:leader="none" w:pos="860" w:val="left"/>
        </w:tabs>
        <w:numPr>
          <w:ilvl w:val="0"/>
          <w:numId w:val="1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05" w:lineRule="exact"/>
        <w:rPr>
          <w:rFonts w:ascii="Times New Roman" w:cs="Times New Roman" w:eastAsia="Times New Roman" w:hAnsi="Times New Roman"/>
          <w:sz w:val="16"/>
          <w:szCs w:val="16"/>
          <w:b w:val="1"/>
          <w:bCs w:val="1"/>
          <w:color w:val="auto"/>
        </w:rPr>
      </w:pPr>
    </w:p>
    <w:p>
      <w:pPr>
        <w:ind w:left="7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 Basis of consolidation (Continued)</w:t>
      </w:r>
    </w:p>
    <w:p>
      <w:pPr>
        <w:spacing w:after="0" w:line="105" w:lineRule="exact"/>
        <w:rPr>
          <w:rFonts w:ascii="Times New Roman" w:cs="Times New Roman" w:eastAsia="Times New Roman" w:hAnsi="Times New Roman"/>
          <w:sz w:val="16"/>
          <w:szCs w:val="16"/>
          <w:b w:val="1"/>
          <w:bCs w:val="1"/>
          <w:color w:val="auto"/>
        </w:rPr>
      </w:pPr>
    </w:p>
    <w:p>
      <w:pPr>
        <w:ind w:left="11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Selected Condensed Consolidated Balance Sheets Information (Continued)</w:t>
      </w:r>
    </w:p>
    <w:p>
      <w:pPr>
        <w:spacing w:after="0" w:line="357"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4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jc w:val="right"/>
              <w:ind w:right="1240"/>
              <w:spacing w:after="0"/>
              <w:rPr>
                <w:sz w:val="20"/>
                <w:szCs w:val="20"/>
                <w:color w:val="auto"/>
              </w:rPr>
            </w:pPr>
            <w:r>
              <w:rPr>
                <w:rFonts w:ascii="Times New Roman" w:cs="Times New Roman" w:eastAsia="Times New Roman" w:hAnsi="Times New Roman"/>
                <w:sz w:val="13"/>
                <w:szCs w:val="13"/>
                <w:color w:val="auto"/>
              </w:rPr>
              <w:t>As of</w:t>
            </w:r>
          </w:p>
        </w:tc>
      </w:tr>
      <w:tr>
        <w:trPr>
          <w:trHeight w:val="125"/>
        </w:trPr>
        <w:tc>
          <w:tcPr>
            <w:tcW w:w="4820" w:type="dxa"/>
            <w:vAlign w:val="bottom"/>
          </w:tcPr>
          <w:p>
            <w:pPr>
              <w:spacing w:after="0"/>
              <w:rPr>
                <w:sz w:val="10"/>
                <w:szCs w:val="10"/>
                <w:color w:val="auto"/>
              </w:rPr>
            </w:pPr>
          </w:p>
        </w:tc>
        <w:tc>
          <w:tcPr>
            <w:tcW w:w="1100" w:type="dxa"/>
            <w:vAlign w:val="bottom"/>
            <w:tcBorders>
              <w:top w:val="single" w:sz="8" w:color="auto"/>
            </w:tcBorders>
            <w:gridSpan w:val="2"/>
          </w:tcPr>
          <w:p>
            <w:pPr>
              <w:jc w:val="right"/>
              <w:ind w:right="100"/>
              <w:spacing w:after="0" w:line="125" w:lineRule="exact"/>
              <w:rPr>
                <w:sz w:val="20"/>
                <w:szCs w:val="20"/>
                <w:color w:val="auto"/>
              </w:rPr>
            </w:pPr>
            <w:r>
              <w:rPr>
                <w:rFonts w:ascii="Times New Roman" w:cs="Times New Roman" w:eastAsia="Times New Roman" w:hAnsi="Times New Roman"/>
                <w:sz w:val="13"/>
                <w:szCs w:val="13"/>
                <w:color w:val="auto"/>
                <w:w w:val="95"/>
              </w:rPr>
              <w:t>December 31, 2021</w:t>
            </w:r>
          </w:p>
        </w:tc>
        <w:tc>
          <w:tcPr>
            <w:tcW w:w="4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w w:val="95"/>
              </w:rPr>
              <w:t>December 31, 2022</w:t>
            </w:r>
          </w:p>
        </w:tc>
        <w:tc>
          <w:tcPr>
            <w:tcW w:w="100" w:type="dxa"/>
            <w:vAlign w:val="bottom"/>
          </w:tcPr>
          <w:p>
            <w:pPr>
              <w:spacing w:after="0"/>
              <w:rPr>
                <w:sz w:val="10"/>
                <w:szCs w:val="10"/>
                <w:color w:val="auto"/>
              </w:rPr>
            </w:pPr>
          </w:p>
        </w:tc>
      </w:tr>
      <w:tr>
        <w:trPr>
          <w:trHeight w:val="125"/>
        </w:trPr>
        <w:tc>
          <w:tcPr>
            <w:tcW w:w="4820" w:type="dxa"/>
            <w:vAlign w:val="bottom"/>
          </w:tcPr>
          <w:p>
            <w:pPr>
              <w:spacing w:after="0"/>
              <w:rPr>
                <w:sz w:val="10"/>
                <w:szCs w:val="10"/>
                <w:color w:val="auto"/>
              </w:rPr>
            </w:pPr>
          </w:p>
        </w:tc>
        <w:tc>
          <w:tcPr>
            <w:tcW w:w="1000" w:type="dxa"/>
            <w:vAlign w:val="bottom"/>
            <w:tcBorders>
              <w:top w:val="single" w:sz="8" w:color="auto"/>
            </w:tcBorders>
          </w:tcPr>
          <w:p>
            <w:pPr>
              <w:jc w:val="right"/>
              <w:ind w:right="281"/>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Borders>
              <w:top w:val="single" w:sz="8" w:color="auto"/>
            </w:tcBorders>
          </w:tcPr>
          <w:p>
            <w:pPr>
              <w:jc w:val="right"/>
              <w:ind w:right="286"/>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00" w:type="dxa"/>
            <w:vAlign w:val="bottom"/>
          </w:tcPr>
          <w:p>
            <w:pPr>
              <w:spacing w:after="0"/>
              <w:rPr>
                <w:sz w:val="10"/>
                <w:szCs w:val="10"/>
                <w:color w:val="auto"/>
              </w:rPr>
            </w:pPr>
          </w:p>
        </w:tc>
      </w:tr>
      <w:tr>
        <w:trPr>
          <w:trHeight w:val="19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4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Short-term borrowings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216,710</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150,000</w:t>
            </w:r>
          </w:p>
        </w:tc>
      </w:tr>
      <w:tr>
        <w:trPr>
          <w:trHeight w:val="193"/>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680,183</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261,993</w:t>
            </w:r>
          </w:p>
        </w:tc>
      </w:tr>
      <w:tr>
        <w:trPr>
          <w:trHeight w:val="193"/>
        </w:trPr>
        <w:tc>
          <w:tcPr>
            <w:tcW w:w="4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Insurance premium payables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124,019</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27,567</w:t>
            </w:r>
          </w:p>
        </w:tc>
      </w:tr>
      <w:tr>
        <w:trPr>
          <w:trHeight w:val="193"/>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liabilities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2,681</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702</w:t>
            </w:r>
          </w:p>
        </w:tc>
      </w:tr>
      <w:tr>
        <w:trPr>
          <w:trHeight w:val="193"/>
        </w:trPr>
        <w:tc>
          <w:tcPr>
            <w:tcW w:w="4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207,461</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195,136</w:t>
            </w:r>
          </w:p>
        </w:tc>
      </w:tr>
      <w:tr>
        <w:trPr>
          <w:trHeight w:val="193"/>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Payroll and welfare payable</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92,094</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39,674</w:t>
            </w:r>
          </w:p>
        </w:tc>
      </w:tr>
      <w:tr>
        <w:trPr>
          <w:trHeight w:val="193"/>
        </w:trPr>
        <w:tc>
          <w:tcPr>
            <w:tcW w:w="4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Income taxes payable</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2,440</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2,440</w:t>
            </w:r>
          </w:p>
        </w:tc>
      </w:tr>
      <w:tr>
        <w:trPr>
          <w:trHeight w:val="193"/>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12,362</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10,075</w:t>
            </w:r>
          </w:p>
        </w:tc>
      </w:tr>
      <w:tr>
        <w:trPr>
          <w:trHeight w:val="193"/>
        </w:trPr>
        <w:tc>
          <w:tcPr>
            <w:tcW w:w="4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Amount due to related parties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11,875</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495</w:t>
            </w:r>
          </w:p>
        </w:tc>
      </w:tr>
      <w:tr>
        <w:trPr>
          <w:trHeight w:val="24"/>
        </w:trPr>
        <w:tc>
          <w:tcPr>
            <w:tcW w:w="48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1,349,825</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688,082</w:t>
            </w:r>
          </w:p>
        </w:tc>
      </w:tr>
      <w:tr>
        <w:trPr>
          <w:trHeight w:val="197"/>
        </w:trPr>
        <w:tc>
          <w:tcPr>
            <w:tcW w:w="4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Long-term borrowings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20,000</w:t>
            </w:r>
          </w:p>
        </w:tc>
        <w:tc>
          <w:tcPr>
            <w:tcW w:w="4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4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4,455</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12,054</w:t>
            </w:r>
          </w:p>
        </w:tc>
      </w:tr>
      <w:tr>
        <w:trPr>
          <w:trHeight w:val="193"/>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245,396</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176,032</w:t>
            </w:r>
          </w:p>
        </w:tc>
      </w:tr>
      <w:tr>
        <w:trPr>
          <w:trHeight w:val="201"/>
        </w:trPr>
        <w:tc>
          <w:tcPr>
            <w:tcW w:w="4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269,851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188,086</w:t>
            </w:r>
          </w:p>
        </w:tc>
        <w:tc>
          <w:tcPr>
            <w:tcW w:w="100" w:type="dxa"/>
            <w:vAlign w:val="bottom"/>
          </w:tcPr>
          <w:p>
            <w:pPr>
              <w:spacing w:after="0"/>
              <w:rPr>
                <w:sz w:val="17"/>
                <w:szCs w:val="17"/>
                <w:color w:val="auto"/>
              </w:rPr>
            </w:pPr>
          </w:p>
        </w:tc>
      </w:tr>
      <w:tr>
        <w:trPr>
          <w:trHeight w:val="19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1,619,676</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876,168</w:t>
            </w:r>
          </w:p>
        </w:tc>
      </w:tr>
      <w:tr>
        <w:trPr>
          <w:trHeight w:val="197"/>
        </w:trPr>
        <w:tc>
          <w:tcPr>
            <w:tcW w:w="4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Common shares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44,766</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44,766</w:t>
            </w:r>
          </w:p>
        </w:tc>
      </w:tr>
      <w:tr>
        <w:trPr>
          <w:trHeight w:val="193"/>
        </w:trPr>
        <w:tc>
          <w:tcPr>
            <w:tcW w:w="4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460,157</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470,553</w:t>
            </w:r>
          </w:p>
        </w:tc>
      </w:tr>
      <w:tr>
        <w:trPr>
          <w:trHeight w:val="193"/>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(395,751)</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(407,361)</w:t>
            </w:r>
          </w:p>
        </w:tc>
      </w:tr>
      <w:tr>
        <w:trPr>
          <w:trHeight w:val="178"/>
        </w:trPr>
        <w:tc>
          <w:tcPr>
            <w:tcW w:w="482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Total shareholders’ equity attributable to Huize Holding</w:t>
            </w: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1"/>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Limited shareholders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109,172</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107,958</w:t>
            </w:r>
          </w:p>
        </w:tc>
      </w:tr>
      <w:tr>
        <w:trPr>
          <w:trHeight w:val="193"/>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849</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1,146</w:t>
            </w:r>
          </w:p>
        </w:tc>
      </w:tr>
      <w:tr>
        <w:trPr>
          <w:trHeight w:val="201"/>
        </w:trPr>
        <w:tc>
          <w:tcPr>
            <w:tcW w:w="4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110,021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109,104</w:t>
            </w:r>
          </w:p>
        </w:tc>
        <w:tc>
          <w:tcPr>
            <w:tcW w:w="100" w:type="dxa"/>
            <w:vAlign w:val="bottom"/>
          </w:tcPr>
          <w:p>
            <w:pPr>
              <w:spacing w:after="0"/>
              <w:rPr>
                <w:sz w:val="17"/>
                <w:szCs w:val="17"/>
                <w:color w:val="auto"/>
              </w:rPr>
            </w:pPr>
          </w:p>
        </w:tc>
      </w:tr>
      <w:tr>
        <w:trPr>
          <w:trHeight w:val="19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1,729,697</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985,272</w:t>
            </w:r>
          </w:p>
        </w:tc>
      </w:tr>
      <w:tr>
        <w:trPr>
          <w:trHeight w:val="329"/>
        </w:trPr>
        <w:tc>
          <w:tcPr>
            <w:tcW w:w="4820" w:type="dxa"/>
            <w:vAlign w:val="bottom"/>
          </w:tcPr>
          <w:p>
            <w:pPr>
              <w:ind w:left="3600"/>
              <w:spacing w:after="0"/>
              <w:rPr>
                <w:sz w:val="20"/>
                <w:szCs w:val="20"/>
                <w:color w:val="auto"/>
              </w:rPr>
            </w:pPr>
            <w:r>
              <w:rPr>
                <w:rFonts w:ascii="Times New Roman" w:cs="Times New Roman" w:eastAsia="Times New Roman" w:hAnsi="Times New Roman"/>
                <w:sz w:val="16"/>
                <w:szCs w:val="16"/>
                <w:color w:val="auto"/>
              </w:rPr>
              <w:t>F-19</w:t>
            </w: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139"/>
          </w:cols>
          <w:pgMar w:left="320" w:top="447"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(Continued)</w:t>
      </w:r>
    </w:p>
    <w:p>
      <w:pPr>
        <w:spacing w:after="0" w:line="1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(b) Basis of consolidation (Continued)</w:t>
      </w:r>
    </w:p>
    <w:p>
      <w:pPr>
        <w:spacing w:after="0" w:line="2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Selected Condensed Consolidated Statements of Income/(loss) Information</w:t>
      </w:r>
    </w:p>
    <w:p>
      <w:pPr>
        <w:spacing w:after="0" w:line="224" w:lineRule="exact"/>
        <w:rPr>
          <w:sz w:val="20"/>
          <w:szCs w:val="20"/>
          <w:color w:val="auto"/>
        </w:rPr>
      </w:pPr>
    </w:p>
    <w:tbl>
      <w:tblPr>
        <w:tblLayout w:type="fixed"/>
        <w:tblInd w:w="15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700" w:type="dxa"/>
            <w:vAlign w:val="bottom"/>
            <w:gridSpan w:val="6"/>
          </w:tcPr>
          <w:p>
            <w:pPr>
              <w:jc w:val="center"/>
              <w:ind w:right="80"/>
              <w:spacing w:after="0"/>
              <w:rPr>
                <w:sz w:val="20"/>
                <w:szCs w:val="20"/>
                <w:color w:val="auto"/>
              </w:rPr>
            </w:pPr>
            <w:r>
              <w:rPr>
                <w:rFonts w:ascii="Times New Roman" w:cs="Times New Roman" w:eastAsia="Times New Roman" w:hAnsi="Times New Roman"/>
                <w:sz w:val="13"/>
                <w:szCs w:val="13"/>
                <w:color w:val="auto"/>
                <w:w w:val="97"/>
              </w:rPr>
              <w:t>For the Year Ended December 31,</w:t>
            </w:r>
          </w:p>
        </w:tc>
      </w:tr>
      <w:tr>
        <w:trPr>
          <w:trHeight w:val="125"/>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ind w:right="161"/>
              <w:spacing w:after="0" w:line="125" w:lineRule="exact"/>
              <w:rPr>
                <w:sz w:val="20"/>
                <w:szCs w:val="20"/>
                <w:color w:val="auto"/>
              </w:rPr>
            </w:pPr>
            <w:r>
              <w:rPr>
                <w:rFonts w:ascii="Times New Roman" w:cs="Times New Roman" w:eastAsia="Times New Roman" w:hAnsi="Times New Roman"/>
                <w:sz w:val="13"/>
                <w:szCs w:val="13"/>
                <w:color w:val="auto"/>
              </w:rPr>
              <w:t>2020</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9"/>
              </w:rPr>
              <w:t>2021</w:t>
            </w: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81"/>
              <w:spacing w:after="0" w:line="125" w:lineRule="exact"/>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740" w:type="dxa"/>
            <w:vAlign w:val="bottom"/>
          </w:tcPr>
          <w:p>
            <w:pPr>
              <w:jc w:val="right"/>
              <w:ind w:right="161"/>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80" w:type="dxa"/>
            <w:vAlign w:val="bottom"/>
          </w:tcPr>
          <w:p>
            <w:pPr>
              <w:spacing w:after="0"/>
              <w:rPr>
                <w:sz w:val="10"/>
                <w:szCs w:val="10"/>
                <w:color w:val="auto"/>
              </w:rPr>
            </w:pPr>
          </w:p>
        </w:tc>
        <w:tc>
          <w:tcPr>
            <w:tcW w:w="760" w:type="dxa"/>
            <w:vAlign w:val="bottom"/>
          </w:tcPr>
          <w:p>
            <w:pPr>
              <w:jc w:val="center"/>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180" w:type="dxa"/>
            <w:vAlign w:val="bottom"/>
          </w:tcPr>
          <w:p>
            <w:pPr>
              <w:spacing w:after="0"/>
              <w:rPr>
                <w:sz w:val="10"/>
                <w:szCs w:val="10"/>
                <w:color w:val="auto"/>
              </w:rPr>
            </w:pPr>
          </w:p>
        </w:tc>
        <w:tc>
          <w:tcPr>
            <w:tcW w:w="740" w:type="dxa"/>
            <w:vAlign w:val="bottom"/>
          </w:tcPr>
          <w:p>
            <w:pPr>
              <w:jc w:val="right"/>
              <w:ind w:right="161"/>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00" w:type="dxa"/>
            <w:vAlign w:val="bottom"/>
          </w:tcPr>
          <w:p>
            <w:pPr>
              <w:spacing w:after="0"/>
              <w:rPr>
                <w:sz w:val="10"/>
                <w:szCs w:val="10"/>
                <w:color w:val="auto"/>
              </w:rPr>
            </w:pPr>
          </w:p>
        </w:tc>
      </w:tr>
      <w:tr>
        <w:trPr>
          <w:trHeight w:val="193"/>
        </w:trPr>
        <w:tc>
          <w:tcPr>
            <w:tcW w:w="20" w:type="dxa"/>
            <w:vAlign w:val="bottom"/>
          </w:tcPr>
          <w:p>
            <w:pPr>
              <w:spacing w:after="0"/>
              <w:rPr>
                <w:sz w:val="16"/>
                <w:szCs w:val="16"/>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Brokerage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1,215,434</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2,231,388</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1,107,090</w:t>
            </w:r>
          </w:p>
        </w:tc>
        <w:tc>
          <w:tcPr>
            <w:tcW w:w="10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income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1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11,494</w:t>
            </w:r>
          </w:p>
        </w:tc>
        <w:tc>
          <w:tcPr>
            <w:tcW w:w="1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49,223</w:t>
            </w:r>
          </w:p>
        </w:tc>
        <w:tc>
          <w:tcPr>
            <w:tcW w:w="100" w:type="dxa"/>
            <w:vAlign w:val="bottom"/>
            <w:shd w:val="clear" w:color="auto" w:fill="CCEEFF"/>
          </w:tcPr>
          <w:p>
            <w:pPr>
              <w:spacing w:after="0"/>
              <w:rPr>
                <w:sz w:val="16"/>
                <w:szCs w:val="16"/>
                <w:color w:val="auto"/>
              </w:rPr>
            </w:pPr>
          </w:p>
        </w:tc>
      </w:tr>
      <w:tr>
        <w:trPr>
          <w:trHeight w:val="201"/>
        </w:trPr>
        <w:tc>
          <w:tcPr>
            <w:tcW w:w="5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operating revenue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1,219,994</w:t>
            </w:r>
          </w:p>
        </w:tc>
        <w:tc>
          <w:tcPr>
            <w:tcW w:w="1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2,242,882</w:t>
            </w: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1,156,313</w:t>
            </w:r>
          </w:p>
        </w:tc>
        <w:tc>
          <w:tcPr>
            <w:tcW w:w="1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Cost of revenue</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(813,507)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(1,687,770)</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(705,067)</w:t>
            </w:r>
          </w:p>
        </w:tc>
      </w:tr>
      <w:tr>
        <w:trPr>
          <w:trHeight w:val="193"/>
        </w:trPr>
        <w:tc>
          <w:tcPr>
            <w:tcW w:w="20" w:type="dxa"/>
            <w:vAlign w:val="bottom"/>
          </w:tcPr>
          <w:p>
            <w:pPr>
              <w:spacing w:after="0"/>
              <w:rPr>
                <w:sz w:val="16"/>
                <w:szCs w:val="16"/>
                <w:color w:val="auto"/>
              </w:rPr>
            </w:pPr>
          </w:p>
        </w:tc>
        <w:tc>
          <w:tcPr>
            <w:tcW w:w="5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cost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(2,846)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(2,670)</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(28,282)</w:t>
            </w:r>
          </w:p>
        </w:tc>
      </w:tr>
      <w:tr>
        <w:trPr>
          <w:trHeight w:val="197"/>
        </w:trPr>
        <w:tc>
          <w:tcPr>
            <w:tcW w:w="5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operating costs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(816,353)</w:t>
            </w:r>
          </w:p>
        </w:tc>
        <w:tc>
          <w:tcPr>
            <w:tcW w:w="18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(1,690,440)</w:t>
            </w:r>
          </w:p>
        </w:tc>
        <w:tc>
          <w:tcPr>
            <w:tcW w:w="18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(733,349)</w:t>
            </w:r>
          </w:p>
        </w:tc>
        <w:tc>
          <w:tcPr>
            <w:tcW w:w="1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Selling expenses</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(230,438)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(346,305)</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(230,414)</w:t>
            </w:r>
          </w:p>
        </w:tc>
      </w:tr>
      <w:tr>
        <w:trPr>
          <w:trHeight w:val="193"/>
        </w:trPr>
        <w:tc>
          <w:tcPr>
            <w:tcW w:w="20" w:type="dxa"/>
            <w:vAlign w:val="bottom"/>
          </w:tcPr>
          <w:p>
            <w:pPr>
              <w:spacing w:after="0"/>
              <w:rPr>
                <w:sz w:val="16"/>
                <w:szCs w:val="16"/>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(136,921)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(172,822)</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(136,519)</w:t>
            </w:r>
          </w:p>
        </w:tc>
      </w:tr>
      <w:tr>
        <w:trPr>
          <w:trHeight w:val="193"/>
        </w:trPr>
        <w:tc>
          <w:tcPr>
            <w:tcW w:w="20" w:type="dxa"/>
            <w:vAlign w:val="bottom"/>
          </w:tcPr>
          <w:p>
            <w:pPr>
              <w:spacing w:after="0"/>
              <w:rPr>
                <w:sz w:val="16"/>
                <w:szCs w:val="16"/>
                <w:color w:val="auto"/>
              </w:rPr>
            </w:pPr>
          </w:p>
        </w:tc>
        <w:tc>
          <w:tcPr>
            <w:tcW w:w="5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(49,135)</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(120,478)</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(80,911)</w:t>
            </w:r>
          </w:p>
        </w:tc>
      </w:tr>
      <w:tr>
        <w:trPr>
          <w:trHeight w:val="201"/>
        </w:trPr>
        <w:tc>
          <w:tcPr>
            <w:tcW w:w="5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operating costs and expenses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(1,232,847</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(2,330,045</w:t>
            </w:r>
          </w:p>
        </w:tc>
        <w:tc>
          <w:tcPr>
            <w:tcW w:w="1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(1,181,193</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193"/>
        </w:trPr>
        <w:tc>
          <w:tcPr>
            <w:tcW w:w="20" w:type="dxa"/>
            <w:vAlign w:val="bottom"/>
          </w:tcPr>
          <w:p>
            <w:pPr>
              <w:spacing w:after="0"/>
              <w:rPr>
                <w:sz w:val="16"/>
                <w:szCs w:val="16"/>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income/(loss)</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(12,853)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(87,163)</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(24,880)</w:t>
            </w:r>
          </w:p>
        </w:tc>
      </w:tr>
      <w:tr>
        <w:trPr>
          <w:trHeight w:val="197"/>
        </w:trPr>
        <w:tc>
          <w:tcPr>
            <w:tcW w:w="5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income/(expenses)</w:t>
            </w: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income/(expenses)</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(1,813)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(4,092)</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(5,592)</w:t>
            </w:r>
          </w:p>
        </w:tc>
      </w:tr>
      <w:tr>
        <w:trPr>
          <w:trHeight w:val="193"/>
        </w:trPr>
        <w:tc>
          <w:tcPr>
            <w:tcW w:w="20" w:type="dxa"/>
            <w:vAlign w:val="bottom"/>
          </w:tcPr>
          <w:p>
            <w:pPr>
              <w:spacing w:after="0"/>
              <w:rPr>
                <w:sz w:val="16"/>
                <w:szCs w:val="16"/>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exchange income/(loss)</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(421)</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20" w:type="dxa"/>
            <w:vAlign w:val="bottom"/>
          </w:tcPr>
          <w:p>
            <w:pPr>
              <w:spacing w:after="0"/>
              <w:rPr>
                <w:sz w:val="16"/>
                <w:szCs w:val="16"/>
                <w:color w:val="auto"/>
              </w:rPr>
            </w:pPr>
          </w:p>
        </w:tc>
        <w:tc>
          <w:tcPr>
            <w:tcW w:w="5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Investment income/(loss)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(1,369)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Others, net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10,153</w:t>
            </w:r>
          </w:p>
        </w:tc>
        <w:tc>
          <w:tcPr>
            <w:tcW w:w="1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12,627</w:t>
            </w: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17,941</w:t>
            </w: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55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Profit/(loss) before income tax, and share of income /(loss) of equity method</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investee</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(4,797)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(79,997)</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(11,963)</w:t>
            </w:r>
          </w:p>
        </w:tc>
      </w:tr>
      <w:tr>
        <w:trPr>
          <w:trHeight w:val="197"/>
        </w:trPr>
        <w:tc>
          <w:tcPr>
            <w:tcW w:w="20" w:type="dxa"/>
            <w:vAlign w:val="bottom"/>
          </w:tcPr>
          <w:p>
            <w:pPr>
              <w:spacing w:after="0"/>
              <w:rPr>
                <w:sz w:val="17"/>
                <w:szCs w:val="17"/>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Income tax expense</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80" w:type="dxa"/>
            <w:vAlign w:val="bottom"/>
          </w:tcPr>
          <w:p>
            <w:pPr>
              <w:spacing w:after="0"/>
              <w:rPr>
                <w:sz w:val="17"/>
                <w:szCs w:val="17"/>
                <w:color w:val="auto"/>
              </w:rPr>
            </w:pPr>
          </w:p>
        </w:tc>
        <w:tc>
          <w:tcPr>
            <w:tcW w:w="7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Share of income/(loss) of equity method investee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(2,200)</w:t>
            </w:r>
          </w:p>
        </w:tc>
      </w:tr>
      <w:tr>
        <w:trPr>
          <w:trHeight w:val="201"/>
        </w:trPr>
        <w:tc>
          <w:tcPr>
            <w:tcW w:w="5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profit/(loss)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(6,326)</w:t>
            </w:r>
          </w:p>
        </w:tc>
        <w:tc>
          <w:tcPr>
            <w:tcW w:w="1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(77,337)</w:t>
            </w:r>
          </w:p>
        </w:tc>
        <w:tc>
          <w:tcPr>
            <w:tcW w:w="1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(14,163)</w:t>
            </w:r>
          </w:p>
        </w:tc>
        <w:tc>
          <w:tcPr>
            <w:tcW w:w="1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profit/(loss) attributable to non-controlling interests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(2,553)</w:t>
            </w:r>
          </w:p>
        </w:tc>
      </w:tr>
      <w:tr>
        <w:trPr>
          <w:trHeight w:val="201"/>
        </w:trPr>
        <w:tc>
          <w:tcPr>
            <w:tcW w:w="5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profit/(loss) attributable to Huize Holding Limited</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(6,326)</w:t>
            </w:r>
          </w:p>
        </w:tc>
        <w:tc>
          <w:tcPr>
            <w:tcW w:w="1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(77,286)</w:t>
            </w:r>
          </w:p>
        </w:tc>
        <w:tc>
          <w:tcPr>
            <w:tcW w:w="1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(11,610)</w:t>
            </w:r>
          </w:p>
        </w:tc>
        <w:tc>
          <w:tcPr>
            <w:tcW w:w="1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profit/(loss)</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(6,326)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(77,337)</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(14,163)</w:t>
            </w:r>
          </w:p>
        </w:tc>
      </w:tr>
      <w:tr>
        <w:trPr>
          <w:trHeight w:val="197"/>
        </w:trPr>
        <w:tc>
          <w:tcPr>
            <w:tcW w:w="20" w:type="dxa"/>
            <w:vAlign w:val="bottom"/>
          </w:tcPr>
          <w:p>
            <w:pPr>
              <w:spacing w:after="0"/>
              <w:rPr>
                <w:sz w:val="17"/>
                <w:szCs w:val="17"/>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income/(loss)</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(6,326)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(77,337)</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(14,163)</w:t>
            </w:r>
          </w:p>
        </w:tc>
      </w:tr>
      <w:tr>
        <w:trPr>
          <w:trHeight w:val="201"/>
        </w:trPr>
        <w:tc>
          <w:tcPr>
            <w:tcW w:w="5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Comprehensive income/(loss) attributable to non-controlling interests</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income/(loss) attributable to Huize Holding Limited</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(6,326)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(77,286)</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(11,610)</w:t>
            </w:r>
          </w:p>
        </w:tc>
      </w:tr>
      <w:tr>
        <w:trPr>
          <w:trHeight w:val="329"/>
        </w:trPr>
        <w:tc>
          <w:tcPr>
            <w:tcW w:w="20" w:type="dxa"/>
            <w:vAlign w:val="bottom"/>
          </w:tcPr>
          <w:p>
            <w:pPr>
              <w:spacing w:after="0"/>
              <w:rPr>
                <w:sz w:val="24"/>
                <w:szCs w:val="24"/>
                <w:color w:val="auto"/>
              </w:rPr>
            </w:pPr>
          </w:p>
        </w:tc>
        <w:tc>
          <w:tcPr>
            <w:tcW w:w="5540" w:type="dxa"/>
            <w:vAlign w:val="bottom"/>
          </w:tcPr>
          <w:p>
            <w:pPr>
              <w:ind w:left="3960"/>
              <w:spacing w:after="0"/>
              <w:rPr>
                <w:sz w:val="20"/>
                <w:szCs w:val="20"/>
                <w:color w:val="auto"/>
              </w:rPr>
            </w:pPr>
            <w:r>
              <w:rPr>
                <w:rFonts w:ascii="Times New Roman" w:cs="Times New Roman" w:eastAsia="Times New Roman" w:hAnsi="Times New Roman"/>
                <w:sz w:val="16"/>
                <w:szCs w:val="16"/>
                <w:color w:val="auto"/>
              </w:rPr>
              <w:t>F-20</w:t>
            </w:r>
          </w:p>
        </w:tc>
        <w:tc>
          <w:tcPr>
            <w:tcW w:w="7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139"/>
          </w:cols>
          <w:pgMar w:left="320" w:top="447"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(Continued)</w:t>
      </w:r>
    </w:p>
    <w:p>
      <w:pPr>
        <w:spacing w:after="0" w:line="1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(b) Basis of consolidation (Continued)</w:t>
      </w:r>
    </w:p>
    <w:p>
      <w:pPr>
        <w:spacing w:after="0" w:line="14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Selected Condensed Consolidated Cash Flows Information</w:t>
      </w:r>
    </w:p>
    <w:p>
      <w:pPr>
        <w:spacing w:after="0" w:line="224"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7520" w:type="dxa"/>
            <w:vAlign w:val="bottom"/>
          </w:tcPr>
          <w:p>
            <w:pPr>
              <w:spacing w:after="0"/>
              <w:rPr>
                <w:sz w:val="13"/>
                <w:szCs w:val="13"/>
                <w:color w:val="auto"/>
              </w:rPr>
            </w:pPr>
          </w:p>
        </w:tc>
        <w:tc>
          <w:tcPr>
            <w:tcW w:w="2320" w:type="dxa"/>
            <w:vAlign w:val="bottom"/>
            <w:gridSpan w:val="6"/>
          </w:tcPr>
          <w:p>
            <w:pPr>
              <w:jc w:val="right"/>
              <w:ind w:right="320"/>
              <w:spacing w:after="0"/>
              <w:rPr>
                <w:sz w:val="20"/>
                <w:szCs w:val="20"/>
                <w:color w:val="auto"/>
              </w:rPr>
            </w:pPr>
            <w:r>
              <w:rPr>
                <w:rFonts w:ascii="Times New Roman" w:cs="Times New Roman" w:eastAsia="Times New Roman" w:hAnsi="Times New Roman"/>
                <w:sz w:val="13"/>
                <w:szCs w:val="13"/>
                <w:color w:val="auto"/>
              </w:rPr>
              <w:t>For the Year Ended December 31,</w:t>
            </w:r>
          </w:p>
        </w:tc>
        <w:tc>
          <w:tcPr>
            <w:tcW w:w="0" w:type="dxa"/>
            <w:vAlign w:val="bottom"/>
          </w:tcPr>
          <w:p>
            <w:pPr>
              <w:spacing w:after="0"/>
              <w:rPr>
                <w:sz w:val="1"/>
                <w:szCs w:val="1"/>
                <w:color w:val="auto"/>
              </w:rPr>
            </w:pPr>
          </w:p>
        </w:tc>
      </w:tr>
      <w:tr>
        <w:trPr>
          <w:trHeight w:val="125"/>
        </w:trPr>
        <w:tc>
          <w:tcPr>
            <w:tcW w:w="752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ind w:right="82"/>
              <w:spacing w:after="0" w:line="125" w:lineRule="exact"/>
              <w:rPr>
                <w:sz w:val="20"/>
                <w:szCs w:val="20"/>
                <w:color w:val="auto"/>
              </w:rPr>
            </w:pPr>
            <w:r>
              <w:rPr>
                <w:rFonts w:ascii="Times New Roman" w:cs="Times New Roman" w:eastAsia="Times New Roman" w:hAnsi="Times New Roman"/>
                <w:sz w:val="13"/>
                <w:szCs w:val="13"/>
                <w:color w:val="auto"/>
              </w:rPr>
              <w:t>2020</w:t>
            </w: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01"/>
              <w:spacing w:after="0" w:line="125" w:lineRule="exact"/>
              <w:rPr>
                <w:sz w:val="20"/>
                <w:szCs w:val="20"/>
                <w:color w:val="auto"/>
              </w:rPr>
            </w:pPr>
            <w:r>
              <w:rPr>
                <w:rFonts w:ascii="Times New Roman" w:cs="Times New Roman" w:eastAsia="Times New Roman" w:hAnsi="Times New Roman"/>
                <w:sz w:val="13"/>
                <w:szCs w:val="13"/>
                <w:color w:val="auto"/>
              </w:rPr>
              <w:t>2021</w:t>
            </w: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01"/>
              <w:spacing w:after="0" w:line="125" w:lineRule="exact"/>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520" w:type="dxa"/>
            <w:vAlign w:val="bottom"/>
          </w:tcPr>
          <w:p>
            <w:pPr>
              <w:spacing w:after="0"/>
              <w:rPr>
                <w:sz w:val="10"/>
                <w:szCs w:val="10"/>
                <w:color w:val="auto"/>
              </w:rPr>
            </w:pPr>
          </w:p>
        </w:tc>
        <w:tc>
          <w:tcPr>
            <w:tcW w:w="580" w:type="dxa"/>
            <w:vAlign w:val="bottom"/>
          </w:tcPr>
          <w:p>
            <w:pPr>
              <w:jc w:val="right"/>
              <w:ind w:right="62"/>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200" w:type="dxa"/>
            <w:vAlign w:val="bottom"/>
          </w:tcPr>
          <w:p>
            <w:pPr>
              <w:spacing w:after="0"/>
              <w:rPr>
                <w:sz w:val="10"/>
                <w:szCs w:val="10"/>
                <w:color w:val="auto"/>
              </w:rPr>
            </w:pPr>
          </w:p>
        </w:tc>
        <w:tc>
          <w:tcPr>
            <w:tcW w:w="620" w:type="dxa"/>
            <w:vAlign w:val="bottom"/>
          </w:tcPr>
          <w:p>
            <w:pPr>
              <w:jc w:val="right"/>
              <w:ind w:right="81"/>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200" w:type="dxa"/>
            <w:vAlign w:val="bottom"/>
          </w:tcPr>
          <w:p>
            <w:pPr>
              <w:spacing w:after="0"/>
              <w:rPr>
                <w:sz w:val="10"/>
                <w:szCs w:val="10"/>
                <w:color w:val="auto"/>
              </w:rPr>
            </w:pPr>
          </w:p>
        </w:tc>
        <w:tc>
          <w:tcPr>
            <w:tcW w:w="620" w:type="dxa"/>
            <w:vAlign w:val="bottom"/>
          </w:tcPr>
          <w:p>
            <w:pPr>
              <w:jc w:val="right"/>
              <w:ind w:right="81"/>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operating activities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168,225</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(152,844)</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(69,094)</w:t>
            </w:r>
          </w:p>
        </w:tc>
        <w:tc>
          <w:tcPr>
            <w:tcW w:w="0" w:type="dxa"/>
            <w:vAlign w:val="bottom"/>
          </w:tcPr>
          <w:p>
            <w:pPr>
              <w:spacing w:after="0"/>
              <w:rPr>
                <w:sz w:val="1"/>
                <w:szCs w:val="1"/>
                <w:color w:val="auto"/>
              </w:rPr>
            </w:pPr>
          </w:p>
        </w:tc>
      </w:tr>
      <w:tr>
        <w:trPr>
          <w:trHeight w:val="197"/>
        </w:trPr>
        <w:tc>
          <w:tcPr>
            <w:tcW w:w="7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 of long-term investment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(22,450)</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(22,601)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93"/>
        </w:trPr>
        <w:tc>
          <w:tcPr>
            <w:tcW w:w="7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 of property, equipment and intangible assets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(8,162)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(37,359)</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(16,773)</w:t>
            </w:r>
          </w:p>
        </w:tc>
        <w:tc>
          <w:tcPr>
            <w:tcW w:w="0" w:type="dxa"/>
            <w:vAlign w:val="bottom"/>
          </w:tcPr>
          <w:p>
            <w:pPr>
              <w:spacing w:after="0"/>
              <w:rPr>
                <w:sz w:val="1"/>
                <w:szCs w:val="1"/>
                <w:color w:val="auto"/>
              </w:rPr>
            </w:pPr>
          </w:p>
        </w:tc>
      </w:tr>
      <w:tr>
        <w:trPr>
          <w:trHeight w:val="193"/>
        </w:trPr>
        <w:tc>
          <w:tcPr>
            <w:tcW w:w="7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disposal of property, equipment and intangible assets</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961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Acquisition of subsidiary, net of cash paid</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(11,805)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(25,964)</w:t>
            </w:r>
          </w:p>
        </w:tc>
        <w:tc>
          <w:tcPr>
            <w:tcW w:w="0" w:type="dxa"/>
            <w:vAlign w:val="bottom"/>
          </w:tcPr>
          <w:p>
            <w:pPr>
              <w:spacing w:after="0"/>
              <w:rPr>
                <w:sz w:val="1"/>
                <w:szCs w:val="1"/>
                <w:color w:val="auto"/>
              </w:rPr>
            </w:pPr>
          </w:p>
        </w:tc>
      </w:tr>
      <w:tr>
        <w:trPr>
          <w:trHeight w:val="193"/>
        </w:trPr>
        <w:tc>
          <w:tcPr>
            <w:tcW w:w="7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of inter-company balances</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(5,050)</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7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disposal of investments</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890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193"/>
        </w:trPr>
        <w:tc>
          <w:tcPr>
            <w:tcW w:w="7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received for disposal of subsidiary</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Advances to a third party</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(26,000)</w:t>
            </w:r>
          </w:p>
        </w:tc>
        <w:tc>
          <w:tcPr>
            <w:tcW w:w="0" w:type="dxa"/>
            <w:vAlign w:val="bottom"/>
          </w:tcPr>
          <w:p>
            <w:pPr>
              <w:spacing w:after="0"/>
              <w:rPr>
                <w:sz w:val="1"/>
                <w:szCs w:val="1"/>
                <w:color w:val="auto"/>
              </w:rPr>
            </w:pPr>
          </w:p>
        </w:tc>
      </w:tr>
      <w:tr>
        <w:trPr>
          <w:trHeight w:val="193"/>
        </w:trPr>
        <w:tc>
          <w:tcPr>
            <w:tcW w:w="7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Repayment from a third party</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16,000</w:t>
            </w:r>
          </w:p>
        </w:tc>
        <w:tc>
          <w:tcPr>
            <w:tcW w:w="0" w:type="dxa"/>
            <w:vAlign w:val="bottom"/>
          </w:tcPr>
          <w:p>
            <w:pPr>
              <w:spacing w:after="0"/>
              <w:rPr>
                <w:sz w:val="1"/>
                <w:szCs w:val="1"/>
                <w:color w:val="auto"/>
              </w:rPr>
            </w:pPr>
          </w:p>
        </w:tc>
      </w:tr>
      <w:tr>
        <w:trPr>
          <w:trHeight w:val="193"/>
        </w:trPr>
        <w:tc>
          <w:tcPr>
            <w:tcW w:w="7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Interests received</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193"/>
        </w:trPr>
        <w:tc>
          <w:tcPr>
            <w:tcW w:w="7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137</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241</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1"/>
        </w:trPr>
        <w:tc>
          <w:tcPr>
            <w:tcW w:w="7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investing activities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(31,044)</w:t>
            </w:r>
          </w:p>
        </w:tc>
        <w:tc>
          <w:tcPr>
            <w:tcW w:w="2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(74,723)</w:t>
            </w:r>
          </w:p>
        </w:tc>
        <w:tc>
          <w:tcPr>
            <w:tcW w:w="2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borrowings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105,400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184,000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270,200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Repayments of borrowings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(61,266)</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(40,503)</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(367,524)</w:t>
            </w:r>
          </w:p>
        </w:tc>
        <w:tc>
          <w:tcPr>
            <w:tcW w:w="0" w:type="dxa"/>
            <w:vAlign w:val="bottom"/>
          </w:tcPr>
          <w:p>
            <w:pPr>
              <w:spacing w:after="0"/>
              <w:rPr>
                <w:sz w:val="1"/>
                <w:szCs w:val="1"/>
                <w:color w:val="auto"/>
              </w:rPr>
            </w:pPr>
          </w:p>
        </w:tc>
      </w:tr>
      <w:tr>
        <w:trPr>
          <w:trHeight w:val="193"/>
        </w:trPr>
        <w:tc>
          <w:tcPr>
            <w:tcW w:w="7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inter-company balances</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128,000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exercise of share option</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245</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247</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7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received by subsidiaries from minority shareholders</w:t>
            </w: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900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financing activities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44,379</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272,644</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(88,433)</w:t>
            </w:r>
          </w:p>
        </w:tc>
        <w:tc>
          <w:tcPr>
            <w:tcW w:w="0" w:type="dxa"/>
            <w:vAlign w:val="bottom"/>
          </w:tcPr>
          <w:p>
            <w:pPr>
              <w:spacing w:after="0"/>
              <w:rPr>
                <w:sz w:val="1"/>
                <w:szCs w:val="1"/>
                <w:color w:val="auto"/>
              </w:rPr>
            </w:pPr>
          </w:p>
        </w:tc>
      </w:tr>
      <w:tr>
        <w:trPr>
          <w:trHeight w:val="201"/>
        </w:trPr>
        <w:tc>
          <w:tcPr>
            <w:tcW w:w="7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and cash equivalents</w:t>
            </w:r>
          </w:p>
        </w:tc>
        <w:tc>
          <w:tcPr>
            <w:tcW w:w="5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increase/(decrease) in cash and cash equivalents and restricted cash</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181,560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45,077</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(213,767)</w:t>
            </w:r>
          </w:p>
        </w:tc>
        <w:tc>
          <w:tcPr>
            <w:tcW w:w="0" w:type="dxa"/>
            <w:vAlign w:val="bottom"/>
          </w:tcPr>
          <w:p>
            <w:pPr>
              <w:spacing w:after="0"/>
              <w:rPr>
                <w:sz w:val="1"/>
                <w:szCs w:val="1"/>
                <w:color w:val="auto"/>
              </w:rPr>
            </w:pPr>
          </w:p>
        </w:tc>
      </w:tr>
      <w:tr>
        <w:trPr>
          <w:trHeight w:val="193"/>
        </w:trPr>
        <w:tc>
          <w:tcPr>
            <w:tcW w:w="7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cash and cash equivalents and restricted cash at beginning of year</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248,369</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429,929</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cash and cash equivalents and restricted cash at end of year</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429,929</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475,006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261,239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ind w:left="4780"/>
              <w:spacing w:after="0"/>
              <w:rPr>
                <w:sz w:val="20"/>
                <w:szCs w:val="20"/>
                <w:color w:val="auto"/>
              </w:rPr>
            </w:pPr>
            <w:r>
              <w:rPr>
                <w:rFonts w:ascii="Times New Roman" w:cs="Times New Roman" w:eastAsia="Times New Roman" w:hAnsi="Times New Roman"/>
                <w:sz w:val="16"/>
                <w:szCs w:val="16"/>
                <w:color w:val="auto"/>
              </w:rPr>
              <w:t>F-21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5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320" w:top="447" w:right="10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860" w:hanging="153"/>
        <w:spacing w:after="0"/>
        <w:tabs>
          <w:tab w:leader="none" w:pos="860"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05" w:lineRule="exact"/>
        <w:rPr>
          <w:rFonts w:ascii="Times New Roman" w:cs="Times New Roman" w:eastAsia="Times New Roman" w:hAnsi="Times New Roman"/>
          <w:sz w:val="16"/>
          <w:szCs w:val="16"/>
          <w:b w:val="1"/>
          <w:bCs w:val="1"/>
          <w:color w:val="auto"/>
        </w:rPr>
      </w:pPr>
    </w:p>
    <w:p>
      <w:pPr>
        <w:ind w:left="7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 Basis of consolidation (Continued)</w:t>
      </w:r>
    </w:p>
    <w:p>
      <w:pPr>
        <w:spacing w:after="0" w:line="143" w:lineRule="exact"/>
        <w:rPr>
          <w:sz w:val="20"/>
          <w:szCs w:val="20"/>
          <w:color w:val="auto"/>
        </w:rPr>
      </w:pPr>
    </w:p>
    <w:p>
      <w:pPr>
        <w:ind w:left="700" w:right="600" w:firstLine="393"/>
        <w:spacing w:after="0" w:line="284" w:lineRule="auto"/>
        <w:rPr>
          <w:sz w:val="20"/>
          <w:szCs w:val="20"/>
          <w:color w:val="auto"/>
        </w:rPr>
      </w:pPr>
      <w:r>
        <w:rPr>
          <w:rFonts w:ascii="Times New Roman" w:cs="Times New Roman" w:eastAsia="Times New Roman" w:hAnsi="Times New Roman"/>
          <w:sz w:val="16"/>
          <w:szCs w:val="16"/>
          <w:color w:val="auto"/>
        </w:rPr>
        <w:t>The significant portion of the total assets and total liabilities of Huiye Tianze and its subsidiaries approximate the amounts in the Group’s consolidated financial statements.</w:t>
      </w:r>
    </w:p>
    <w:p>
      <w:pPr>
        <w:spacing w:after="0" w:line="143"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Under the contractual arrangements with the VIE, the Company can have the assets transferred out of the VIE and VIE’s subsidiaries, except for restricted cash and insurance premium receivables balance as disclosed on the balance sheet. Except for these two amounts, there is no other asset of the VIE that can only be used to settle obligations of the VIE and VIE’s subsidiaries. Since the VIE are incorporated as limited liability companies under the PRC Company Law, creditors of the VIE do not have recourse to the general credit of the Company. There is currently no contractual arrangement that would require the Company to provide additional financial support to the VIE. However, as the Company is conducting certain businesses through its VIE and VIE’s subsidiaries, the Company may provide such support on a discretionary basis in the future, which could expose the Company to a loss.</w:t>
      </w:r>
    </w:p>
    <w:p>
      <w:pPr>
        <w:spacing w:after="0" w:line="163" w:lineRule="exact"/>
        <w:rPr>
          <w:sz w:val="20"/>
          <w:szCs w:val="20"/>
          <w:color w:val="auto"/>
        </w:rPr>
      </w:pPr>
    </w:p>
    <w:p>
      <w:pPr>
        <w:ind w:left="700" w:right="20" w:firstLine="393"/>
        <w:spacing w:after="0" w:line="255" w:lineRule="auto"/>
        <w:rPr>
          <w:sz w:val="20"/>
          <w:szCs w:val="20"/>
          <w:color w:val="auto"/>
        </w:rPr>
      </w:pPr>
      <w:r>
        <w:rPr>
          <w:rFonts w:ascii="Times New Roman" w:cs="Times New Roman" w:eastAsia="Times New Roman" w:hAnsi="Times New Roman"/>
          <w:sz w:val="16"/>
          <w:szCs w:val="16"/>
          <w:color w:val="auto"/>
        </w:rPr>
        <w:t>In the opinion of the Company’s management, the contractual arrangements among its subsidiary, the VIE and their respective Nominee Shareholders are in compliance with current PRC laws and are legally binding and enforceable. However, uncertainties in the interpretation and enforcement of the PRC laws, regulations and policies could limit the Company’s ability to enforce these contractual arrangements. In addition, shareholders of the VIE are PRC holding entities of certain pre-IPO shareholders of the Company, including entities beneficially owned by Mr. Cunjun Ma, the chairman of the board of directors and the chief executive officer, who controls more than 50% of the Company’s total voting power. Therefore, the enforceability of the contractual agreements between us, the VIE and its shareholders depends on whether the Company’s shareholders or their PRC holding entities will fulfill these contractual agreements. There is a risk that the benefits of ownership between the Company and the VIE may not be aligned in the future. Given the significance and importance of the VIEs, there would be a significant negative impact to the Company if these contracts were not enforced.</w:t>
      </w:r>
    </w:p>
    <w:p>
      <w:pPr>
        <w:spacing w:after="0" w:line="169" w:lineRule="exact"/>
        <w:rPr>
          <w:sz w:val="20"/>
          <w:szCs w:val="20"/>
          <w:color w:val="auto"/>
        </w:rPr>
      </w:pP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In March 2019, the National People’s Congress approved the Foreign Investment Law, which came into effect on January 1, 2020 and replaced the trio of existing laws regulating foreign investment in China together with their implementation rules and ancillary regulations. However, since it is relatively new, uncertainties still exist in relation to its interpretation and implementation. For instance, under the Foreign Investment Law, “foreign investment” refers to the investment activities directly or indirectly conducted by foreign individuals, enterprises or other entities in China but it does not explicitly stipulate the contractual arrangements as a form of foreign investment. On December 26, 2019, the State Council promulgated the Implementation Regulations on the Foreign Investment Law, which came into effect on January 1, 2020. Though these regulations do not explicitly classify contractual arrangements as a form of foreign investment, there is no assurance that foreign investment via contractual arrangements would not be interpreted as a type of foreign investment activities under the definition in the future. In addition, the definition contains a catch-all provision which includes investments made by foreign investors through means stipulated in laws or administrative regulations or other methods prescribed by the State Council. Therefore, the Foreign Investment Law still leaves leeway for future laws, administrative regulations or provisions promulgated by the State Council to provide for contractual arrangements as a form of foreign investment. In any of these cases, it will be uncertain whether the Group’s contractual arrangements will be deemed to be in violation of the market access requirements for foreign investment under the PRC laws and regulations. If variable interest entities fall within the definition of foreign investment entities, the Group’s ability to use the contractual arrangements with the VIE and the Group’s ability to conduct business through the VIE could be severely limited.</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F-22</w:t>
      </w:r>
    </w:p>
    <w:p>
      <w:pPr>
        <w:sectPr>
          <w:pgSz w:w="11900" w:h="16838" w:orient="portrait"/>
          <w:cols w:equalWidth="0" w:num="1">
            <w:col w:w="10520"/>
          </w:cols>
          <w:pgMar w:left="320" w:top="447" w:right="10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860" w:hanging="153"/>
        <w:spacing w:after="0"/>
        <w:tabs>
          <w:tab w:leader="none" w:pos="860" w:val="left"/>
        </w:tabs>
        <w:numPr>
          <w:ilvl w:val="0"/>
          <w:numId w:val="1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05" w:lineRule="exact"/>
        <w:rPr>
          <w:rFonts w:ascii="Times New Roman" w:cs="Times New Roman" w:eastAsia="Times New Roman" w:hAnsi="Times New Roman"/>
          <w:sz w:val="16"/>
          <w:szCs w:val="16"/>
          <w:b w:val="1"/>
          <w:bCs w:val="1"/>
          <w:color w:val="auto"/>
        </w:rPr>
      </w:pPr>
    </w:p>
    <w:p>
      <w:pPr>
        <w:ind w:left="7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 Basis of consolidation (Continued)</w:t>
      </w:r>
    </w:p>
    <w:p>
      <w:pPr>
        <w:spacing w:after="0" w:line="143"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The Company’s ability to control the VIE also depends on the power of attorney Zhixuan has to vote on all matters requiring shareholders’ approvals in the VIE. As noted above, the Company believes these powers of attorney are legally binding and enforceable but may not be as effective as direct equity ownership. In addition, if the Group’s corporate structure or the contractual arrangements with the VIE were found to be in violation of any existing PRC laws and regulations, the PRC regulatory authorities could, within their respective jurisdictions:</w:t>
      </w:r>
    </w:p>
    <w:p>
      <w:pPr>
        <w:spacing w:after="0" w:line="76" w:lineRule="exact"/>
        <w:rPr>
          <w:sz w:val="20"/>
          <w:szCs w:val="20"/>
          <w:color w:val="auto"/>
        </w:rPr>
      </w:pPr>
    </w:p>
    <w:p>
      <w:pPr>
        <w:ind w:left="1580" w:hanging="487"/>
        <w:spacing w:after="0"/>
        <w:tabs>
          <w:tab w:leader="none" w:pos="158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revoke the Group’s business and operating licenses;</w:t>
      </w:r>
    </w:p>
    <w:p>
      <w:pPr>
        <w:spacing w:after="0" w:line="117" w:lineRule="exact"/>
        <w:rPr>
          <w:rFonts w:ascii="Times New Roman" w:cs="Times New Roman" w:eastAsia="Times New Roman" w:hAnsi="Times New Roman"/>
          <w:sz w:val="16"/>
          <w:szCs w:val="16"/>
          <w:color w:val="auto"/>
        </w:rPr>
      </w:pPr>
    </w:p>
    <w:p>
      <w:pPr>
        <w:ind w:left="1580" w:hanging="487"/>
        <w:spacing w:after="0"/>
        <w:tabs>
          <w:tab w:leader="none" w:pos="158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Group to discontinue or restrict its operations;</w:t>
      </w:r>
    </w:p>
    <w:p>
      <w:pPr>
        <w:spacing w:after="0" w:line="117" w:lineRule="exact"/>
        <w:rPr>
          <w:rFonts w:ascii="Times New Roman" w:cs="Times New Roman" w:eastAsia="Times New Roman" w:hAnsi="Times New Roman"/>
          <w:sz w:val="16"/>
          <w:szCs w:val="16"/>
          <w:color w:val="auto"/>
        </w:rPr>
      </w:pPr>
    </w:p>
    <w:p>
      <w:pPr>
        <w:ind w:left="1580" w:hanging="487"/>
        <w:spacing w:after="0"/>
        <w:tabs>
          <w:tab w:leader="none" w:pos="158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 the Group’s right to collect revenues;</w:t>
      </w:r>
    </w:p>
    <w:p>
      <w:pPr>
        <w:spacing w:after="0" w:line="117" w:lineRule="exact"/>
        <w:rPr>
          <w:rFonts w:ascii="Times New Roman" w:cs="Times New Roman" w:eastAsia="Times New Roman" w:hAnsi="Times New Roman"/>
          <w:sz w:val="16"/>
          <w:szCs w:val="16"/>
          <w:color w:val="auto"/>
        </w:rPr>
      </w:pPr>
    </w:p>
    <w:p>
      <w:pPr>
        <w:ind w:left="1580" w:hanging="487"/>
        <w:spacing w:after="0"/>
        <w:tabs>
          <w:tab w:leader="none" w:pos="158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block the Group’s websites;</w:t>
      </w:r>
    </w:p>
    <w:p>
      <w:pPr>
        <w:spacing w:after="0" w:line="117" w:lineRule="exact"/>
        <w:rPr>
          <w:rFonts w:ascii="Times New Roman" w:cs="Times New Roman" w:eastAsia="Times New Roman" w:hAnsi="Times New Roman"/>
          <w:sz w:val="16"/>
          <w:szCs w:val="16"/>
          <w:color w:val="auto"/>
        </w:rPr>
      </w:pPr>
    </w:p>
    <w:p>
      <w:pPr>
        <w:ind w:left="1580" w:hanging="487"/>
        <w:spacing w:after="0"/>
        <w:tabs>
          <w:tab w:leader="none" w:pos="158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Group to restructure its operations, re-apply for the necessary licenses or relocate the Group’s businesses, staff and assets;</w:t>
      </w:r>
    </w:p>
    <w:p>
      <w:pPr>
        <w:spacing w:after="0" w:line="117" w:lineRule="exact"/>
        <w:rPr>
          <w:rFonts w:ascii="Times New Roman" w:cs="Times New Roman" w:eastAsia="Times New Roman" w:hAnsi="Times New Roman"/>
          <w:sz w:val="16"/>
          <w:szCs w:val="16"/>
          <w:color w:val="auto"/>
        </w:rPr>
      </w:pPr>
    </w:p>
    <w:p>
      <w:pPr>
        <w:ind w:left="1580" w:hanging="487"/>
        <w:spacing w:after="0"/>
        <w:tabs>
          <w:tab w:leader="none" w:pos="158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additional conditions or requirements with which the Group may not be able to comply; or</w:t>
      </w:r>
    </w:p>
    <w:p>
      <w:pPr>
        <w:spacing w:after="0" w:line="117" w:lineRule="exact"/>
        <w:rPr>
          <w:rFonts w:ascii="Times New Roman" w:cs="Times New Roman" w:eastAsia="Times New Roman" w:hAnsi="Times New Roman"/>
          <w:sz w:val="16"/>
          <w:szCs w:val="16"/>
          <w:color w:val="auto"/>
        </w:rPr>
      </w:pPr>
    </w:p>
    <w:p>
      <w:pPr>
        <w:ind w:left="1580" w:hanging="487"/>
        <w:spacing w:after="0"/>
        <w:tabs>
          <w:tab w:leader="none" w:pos="158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other regulatory or enforcement actions against the Group that could be harmful to the Group’s business.</w:t>
      </w:r>
    </w:p>
    <w:p>
      <w:pPr>
        <w:spacing w:after="0" w:line="202" w:lineRule="exact"/>
        <w:rPr>
          <w:sz w:val="20"/>
          <w:szCs w:val="20"/>
          <w:color w:val="auto"/>
        </w:rPr>
      </w:pPr>
    </w:p>
    <w:p>
      <w:pPr>
        <w:ind w:left="700" w:right="120" w:firstLine="393"/>
        <w:spacing w:after="0" w:line="262" w:lineRule="auto"/>
        <w:rPr>
          <w:sz w:val="20"/>
          <w:szCs w:val="20"/>
          <w:color w:val="auto"/>
        </w:rPr>
      </w:pPr>
      <w:r>
        <w:rPr>
          <w:rFonts w:ascii="Times New Roman" w:cs="Times New Roman" w:eastAsia="Times New Roman" w:hAnsi="Times New Roman"/>
          <w:sz w:val="16"/>
          <w:szCs w:val="16"/>
          <w:color w:val="auto"/>
        </w:rPr>
        <w:t>The imposition of any of these restrictions or actions may result in a material adverse effect on the Group’s ability to conduct its business. In addition, if the imposition of any of these restrictions causes the Group to lose the right to direct the activities of the VIE or the right to receive their economic benefits, the Group would no longer be able to consolidate the financial statements of the VIE. In the opinion of management, the likelihood of losing the benefits in respect of the Group’s current ownership structure or the contractual arrangements with its VIE is remote.</w:t>
      </w:r>
    </w:p>
    <w:p>
      <w:pPr>
        <w:spacing w:after="0" w:line="10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F-23</w:t>
      </w:r>
    </w:p>
    <w:p>
      <w:pPr>
        <w:sectPr>
          <w:pgSz w:w="11900" w:h="16838" w:orient="portrait"/>
          <w:cols w:equalWidth="0" w:num="1">
            <w:col w:w="10520"/>
          </w:cols>
          <w:pgMar w:left="320" w:top="447" w:right="10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(Continued)</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(c) Business combinations and non-controlling interests</w:t>
      </w:r>
    </w:p>
    <w:p>
      <w:pPr>
        <w:spacing w:after="0" w:line="107" w:lineRule="exact"/>
        <w:rPr>
          <w:sz w:val="20"/>
          <w:szCs w:val="20"/>
          <w:color w:val="auto"/>
        </w:rPr>
      </w:pPr>
    </w:p>
    <w:p>
      <w:pPr>
        <w:ind w:left="700" w:right="40" w:firstLine="393"/>
        <w:spacing w:after="0" w:line="254" w:lineRule="auto"/>
        <w:rPr>
          <w:sz w:val="20"/>
          <w:szCs w:val="20"/>
          <w:color w:val="auto"/>
        </w:rPr>
      </w:pPr>
      <w:r>
        <w:rPr>
          <w:rFonts w:ascii="Times New Roman" w:cs="Times New Roman" w:eastAsia="Times New Roman" w:hAnsi="Times New Roman"/>
          <w:sz w:val="16"/>
          <w:szCs w:val="16"/>
          <w:color w:val="auto"/>
        </w:rPr>
        <w:t>The Company accounts for its business combinations using the acquisition method of accounting in accordance with ASC 805 — “Business Combinations”. The cost of an acquisition is measured as the aggregate of the acquisition date fair value of the assets transferred to the sellers, liabilities incurred by the Company and equity instruments issued by the Company. Transaction costs directly attributable to the acquisition are expensed as incurred. Identifiable assets acquired and liabilities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statements of comprehensive income/(loss). During the measurement period, which can be up to one year from the acquisition date, the Company may record adjustments to the assets acquired and liabilities assumed with the corresponding offset to goodwill. Subsequent to the conclusion of the measurement period or final determination of the values of assets acquired or liabilities assumed, whichever comes first, any further adjustments are recorded in the consolidated statements of comprehensive income/(loss).</w:t>
      </w:r>
    </w:p>
    <w:p>
      <w:pPr>
        <w:spacing w:after="0" w:line="172" w:lineRule="exact"/>
        <w:rPr>
          <w:sz w:val="20"/>
          <w:szCs w:val="20"/>
          <w:color w:val="auto"/>
        </w:rPr>
      </w:pPr>
    </w:p>
    <w:p>
      <w:pPr>
        <w:jc w:val="both"/>
        <w:ind w:left="700" w:right="140" w:firstLine="393"/>
        <w:spacing w:after="0" w:line="267" w:lineRule="auto"/>
        <w:rPr>
          <w:sz w:val="20"/>
          <w:szCs w:val="20"/>
          <w:color w:val="auto"/>
        </w:rPr>
      </w:pPr>
      <w:r>
        <w:rPr>
          <w:rFonts w:ascii="Times New Roman" w:cs="Times New Roman" w:eastAsia="Times New Roman" w:hAnsi="Times New Roman"/>
          <w:sz w:val="16"/>
          <w:szCs w:val="16"/>
          <w:color w:val="auto"/>
        </w:rPr>
        <w:t>When there is a change in ownership interests that result in a loss of control of a subsidiary, the Company deconsolidates the subsidiary from the date control is lost. Any retained non-controlling investment in the former subsidiary is measured at fair value and is included in the calculation of the gain or loss upon deconsolidation of the subsidiary.</w:t>
      </w:r>
    </w:p>
    <w:p>
      <w:pPr>
        <w:spacing w:after="0" w:line="157"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For the Company’s majority-owned subsidiaries and VIE, a non-controlling interest is recognized to reflect the portion of their equity which is not attributable, directly or indirectly, to the Company. Consolidated net profit/(loss) in the consolidated statements of comprehensive income/(loss) includes the net (profit)/loss attributable to non-controlling interests, and common shareholders and redeemable preferred shareholders where applicable. The cumulative results of operations attributable to non-controlling interests are recorded as non-controlling interests in the Company’s consolidated balance sheets. Cash flows related to transactions with non-controlling interests are presented under financing activities in the consolidated statements of cash flows.</w:t>
      </w:r>
    </w:p>
    <w:p>
      <w:pPr>
        <w:spacing w:after="0" w:line="2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(d) Use of estimates</w:t>
      </w:r>
    </w:p>
    <w:p>
      <w:pPr>
        <w:spacing w:after="0" w:line="107" w:lineRule="exact"/>
        <w:rPr>
          <w:sz w:val="20"/>
          <w:szCs w:val="20"/>
          <w:color w:val="auto"/>
        </w:rPr>
      </w:pPr>
    </w:p>
    <w:p>
      <w:pPr>
        <w:jc w:val="both"/>
        <w:ind w:left="700" w:right="60" w:firstLine="393"/>
        <w:spacing w:after="0" w:line="256" w:lineRule="auto"/>
        <w:rPr>
          <w:sz w:val="20"/>
          <w:szCs w:val="20"/>
          <w:color w:val="auto"/>
        </w:rPr>
      </w:pPr>
      <w:r>
        <w:rPr>
          <w:rFonts w:ascii="Times New Roman" w:cs="Times New Roman" w:eastAsia="Times New Roman" w:hAnsi="Times New Roman"/>
          <w:sz w:val="16"/>
          <w:szCs w:val="16"/>
          <w:color w:val="auto"/>
        </w:rPr>
        <w:t>Financial statements amounts that reflect significant accounting estimates and assumptions mainly include, but are not limited to (i) allowance for doubtful accounts (losses of accounts receivable, insurance premium receivables and other receivables), (ii) valuation and forfeiture rate of share-based compensation arrangements, (iii) operating revenue and cost of revenue recognition, (iv) fair value of long-term investments, (v) useful life of property, plant and equipment and intangible assets, (vi) valuation of acquired assets and liabilities assumed, (vii) assessment for impairment of intangible assets,</w:t>
      </w:r>
    </w:p>
    <w:p>
      <w:pPr>
        <w:spacing w:after="0" w:line="3" w:lineRule="exact"/>
        <w:rPr>
          <w:sz w:val="20"/>
          <w:szCs w:val="20"/>
          <w:color w:val="auto"/>
        </w:rPr>
      </w:pPr>
    </w:p>
    <w:p>
      <w:pPr>
        <w:ind w:left="700" w:right="200" w:firstLine="7"/>
        <w:spacing w:after="0" w:line="263" w:lineRule="auto"/>
        <w:tabs>
          <w:tab w:leader="none" w:pos="1061"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realizability of deferred tax assets, (ix) uncertainty tax position and (x) discount rate of lease liability. Actual results could materially differ from these estimates.</w:t>
      </w:r>
    </w:p>
    <w:p>
      <w:pPr>
        <w:spacing w:after="0" w:line="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F-24</w:t>
      </w:r>
    </w:p>
    <w:p>
      <w:pPr>
        <w:sectPr>
          <w:pgSz w:w="11900" w:h="16838" w:orient="portrait"/>
          <w:cols w:equalWidth="0" w:num="1">
            <w:col w:w="10540"/>
          </w:cols>
          <w:pgMar w:left="320" w:top="447" w:right="10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(Continued)</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(e) Comprehensive income and foreign currency translation</w:t>
      </w:r>
    </w:p>
    <w:p>
      <w:pPr>
        <w:spacing w:after="0" w:line="107"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The Group’s operating results are reported in the consolidated statements of comprehensive income/(loss) pursuant to FASB ASC Topic 220, “Comprehensive Income”. Comprehensive income consists of two components: net income and other comprehensive income (“OCI”). The Group’s OCI is comprised of gains and losses resulting from translating foreign currency financial statements of entities, of which functional currency is other than Renminbi (“RMB”) which is the reporting currency of the Group, net of related income taxes, where applicable. Such subsidiaries’ assets and liabilities are translated into RMB at period-end exchange rates, and revenues and expenses are translated at average exchange rates prevailing during the year. Adjustments that result from translating amounts from a subsidiary’s functional currency to the RMB (as described above) are reported net of tax, where applicable, in accumulated OCI in the consolidated balance sheets.</w:t>
      </w:r>
    </w:p>
    <w:p>
      <w:pPr>
        <w:spacing w:after="0" w:line="2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(f) Convenience translation</w:t>
      </w:r>
    </w:p>
    <w:p>
      <w:pPr>
        <w:spacing w:after="0" w:line="107" w:lineRule="exact"/>
        <w:rPr>
          <w:sz w:val="20"/>
          <w:szCs w:val="20"/>
          <w:color w:val="auto"/>
        </w:rPr>
      </w:pPr>
    </w:p>
    <w:p>
      <w:pPr>
        <w:ind w:left="700" w:right="120" w:firstLine="393"/>
        <w:spacing w:after="0" w:line="259" w:lineRule="auto"/>
        <w:rPr>
          <w:sz w:val="20"/>
          <w:szCs w:val="20"/>
          <w:color w:val="auto"/>
        </w:rPr>
      </w:pPr>
      <w:r>
        <w:rPr>
          <w:rFonts w:ascii="Times New Roman" w:cs="Times New Roman" w:eastAsia="Times New Roman" w:hAnsi="Times New Roman"/>
          <w:sz w:val="16"/>
          <w:szCs w:val="16"/>
          <w:color w:val="auto"/>
        </w:rPr>
        <w:t>Translations of balances in the Group’s consolidated balance sheets, consolidated statements of comprehensive income/(loss) and consolidated statements of cash flows from RMB into US$ as of and for year ended December 31, 2022 are solely for the convenience of the readers and were calculated at the rate of US$1.00=RMB6.8972, representing the noon buying rate set forth in the H.10 statistical release of the U.S. Federal Reserve Board on the last trading day of 2022 (December 30, 2022). No representation is made that the RMB amounts could have been, or could be, converted, realized or settled into US$ at that rate on December 31, 2022 or at any other rate.</w:t>
      </w: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(g) Cash and cash equivalents</w:t>
      </w:r>
    </w:p>
    <w:p>
      <w:pPr>
        <w:spacing w:after="0" w:line="107" w:lineRule="exact"/>
        <w:rPr>
          <w:sz w:val="20"/>
          <w:szCs w:val="20"/>
          <w:color w:val="auto"/>
        </w:rPr>
      </w:pPr>
    </w:p>
    <w:p>
      <w:pPr>
        <w:ind w:left="700" w:right="60" w:firstLine="393"/>
        <w:spacing w:after="0" w:line="267" w:lineRule="auto"/>
        <w:rPr>
          <w:sz w:val="20"/>
          <w:szCs w:val="20"/>
          <w:color w:val="auto"/>
        </w:rPr>
      </w:pPr>
      <w:r>
        <w:rPr>
          <w:rFonts w:ascii="Times New Roman" w:cs="Times New Roman" w:eastAsia="Times New Roman" w:hAnsi="Times New Roman"/>
          <w:sz w:val="16"/>
          <w:szCs w:val="16"/>
          <w:color w:val="auto"/>
        </w:rPr>
        <w:t>Cash and cash equivalents consist of (1) cash on hand; (2) bank deposits and short-term, highly liquid investments, with original maturities of less than three months that are readily convertible to known amounts of cash, and have insignificant risk of changes in value related to changes in interest rates.</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(h) Restricted cash</w:t>
      </w:r>
    </w:p>
    <w:p>
      <w:pPr>
        <w:spacing w:after="0" w:line="107" w:lineRule="exact"/>
        <w:rPr>
          <w:sz w:val="20"/>
          <w:szCs w:val="20"/>
          <w:color w:val="auto"/>
        </w:rPr>
      </w:pPr>
    </w:p>
    <w:p>
      <w:pPr>
        <w:ind w:left="700" w:right="140" w:firstLine="393"/>
        <w:spacing w:after="0" w:line="255" w:lineRule="auto"/>
        <w:rPr>
          <w:sz w:val="20"/>
          <w:szCs w:val="20"/>
          <w:color w:val="auto"/>
        </w:rPr>
      </w:pPr>
      <w:r>
        <w:rPr>
          <w:rFonts w:ascii="Times New Roman" w:cs="Times New Roman" w:eastAsia="Times New Roman" w:hAnsi="Times New Roman"/>
          <w:sz w:val="16"/>
          <w:szCs w:val="16"/>
          <w:color w:val="auto"/>
        </w:rPr>
        <w:t>In its capacity as an insurance broker, the Group collects “premiums” (unremitted insurance premiums) from certain insureds and remits the “premiums” to the appropriate insurance companies. Unremitted insurance premiums are held in custody until disbursed by the Group. The Group reports such amounts as restricted cash in the consolidated balance sheets, and classifies into current and non-current portion based on the length of restricted period. Unremitted insurance premiums were RMB126,715 and RMB30,578 (US$ 4,433) as of December 31, 2021 and December 31, 2022, respectively. During the years ended December 31, 2021 and 2022, HK Smart Choice provided security for the loan of Huize Shidai by pledged deposits. The amounts of pledged deposits as of December 31, 2021 and 2022 were RMB75,831 and RMB43,459 (US$ 6,302), respectively. Also, restricted cash balance includes guarantee deposits required by China Banking and Insurance Regulatory Commission (“CBIRC”) in order to protect insurance premium appropriation by insurance broker. The restricted cash balance related to this requirement were RMB25,280 and RMB24,880 (US$ 3,607) as of December 31, 2021 and as of December 31, 2022.</w:t>
      </w:r>
    </w:p>
    <w:p>
      <w:pPr>
        <w:spacing w:after="0" w:line="10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F-25</w:t>
      </w:r>
    </w:p>
    <w:p>
      <w:pPr>
        <w:sectPr>
          <w:pgSz w:w="11900" w:h="16838" w:orient="portrait"/>
          <w:cols w:equalWidth="0" w:num="1">
            <w:col w:w="10540"/>
          </w:cols>
          <w:pgMar w:left="320" w:top="447" w:right="10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(Continued)</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(i) Accounts receivable</w:t>
      </w:r>
    </w:p>
    <w:p>
      <w:pPr>
        <w:spacing w:after="0" w:line="107" w:lineRule="exact"/>
        <w:rPr>
          <w:sz w:val="20"/>
          <w:szCs w:val="20"/>
          <w:color w:val="auto"/>
        </w:rPr>
      </w:pPr>
    </w:p>
    <w:p>
      <w:pPr>
        <w:ind w:left="700" w:right="180" w:firstLine="393"/>
        <w:spacing w:after="0" w:line="259" w:lineRule="auto"/>
        <w:rPr>
          <w:sz w:val="20"/>
          <w:szCs w:val="20"/>
          <w:color w:val="auto"/>
        </w:rPr>
      </w:pPr>
      <w:r>
        <w:rPr>
          <w:rFonts w:ascii="Times New Roman" w:cs="Times New Roman" w:eastAsia="Times New Roman" w:hAnsi="Times New Roman"/>
          <w:sz w:val="16"/>
          <w:szCs w:val="16"/>
          <w:color w:val="auto"/>
        </w:rPr>
        <w:t>Accounts receivable is recorded at the invoiced amount and do not bear interest. Accounts receivable represent brokerage fees receivable from insurance companies. The allowance for doubtful accounts is the Group’s best estimate of the amount of probable credit losses in the Group’s existing accounts receivable balance. The Group assesses the collectability of accounts receivable by determining the allowance percentage for the overdue balances by age. The Group makes allowance for the overdue balances of continuing cooperating insurance companies over 6 months and for the overdue balances of discontinuing cooperating insurance companies over 3 months.</w:t>
      </w: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(j) Insurance premium receivables</w:t>
      </w:r>
    </w:p>
    <w:p>
      <w:pPr>
        <w:spacing w:after="0" w:line="107"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Insurance premium receivables consist of insurance premiums to be collected from the insured and are recorded at the invoiced amount and do not bear interest. The insurance premium received are included in net cash provided by operating activities in the consolidated statements of cash flows.</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(k) Fair value measurement</w:t>
      </w:r>
    </w:p>
    <w:p>
      <w:pPr>
        <w:spacing w:after="0" w:line="107"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61" w:lineRule="exact"/>
        <w:rPr>
          <w:sz w:val="20"/>
          <w:szCs w:val="20"/>
          <w:color w:val="auto"/>
        </w:rPr>
      </w:pPr>
    </w:p>
    <w:p>
      <w:pPr>
        <w:ind w:left="700" w:firstLine="393"/>
        <w:spacing w:after="0" w:line="267" w:lineRule="auto"/>
        <w:rPr>
          <w:sz w:val="20"/>
          <w:szCs w:val="20"/>
          <w:color w:val="auto"/>
        </w:rPr>
      </w:pPr>
      <w:r>
        <w:rPr>
          <w:rFonts w:ascii="Times New Roman" w:cs="Times New Roman" w:eastAsia="Times New Roman" w:hAnsi="Times New Roman"/>
          <w:sz w:val="16"/>
          <w:szCs w:val="16"/>
          <w:color w:val="auto"/>
        </w:rPr>
        <w:t>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5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three levels of inputs that may be used to measure fair value include:</w:t>
      </w:r>
    </w:p>
    <w:p>
      <w:pPr>
        <w:spacing w:after="0" w:line="20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Level 1: Quoted prices (unadjusted) in active markets for identical assets or liabilities.</w:t>
      </w:r>
    </w:p>
    <w:p>
      <w:pPr>
        <w:spacing w:after="0" w:line="20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Level 2: Observable, market-based inputs, other than quoted prices, in active markets for identical assets or liabilities.</w:t>
      </w:r>
    </w:p>
    <w:p>
      <w:pPr>
        <w:spacing w:after="0" w:line="20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Level 3: Unobservable inputs to the valuation methodology that are significant to the measurement of the fair value of the assets or liabilities.</w:t>
      </w:r>
    </w:p>
    <w:p>
      <w:pPr>
        <w:spacing w:after="0" w:line="202" w:lineRule="exact"/>
        <w:rPr>
          <w:sz w:val="20"/>
          <w:szCs w:val="20"/>
          <w:color w:val="auto"/>
        </w:rPr>
      </w:pPr>
    </w:p>
    <w:p>
      <w:pPr>
        <w:ind w:left="700" w:right="60" w:firstLine="393"/>
        <w:spacing w:after="0" w:line="259" w:lineRule="auto"/>
        <w:rPr>
          <w:sz w:val="20"/>
          <w:szCs w:val="20"/>
          <w:color w:val="auto"/>
        </w:rPr>
      </w:pPr>
      <w:r>
        <w:rPr>
          <w:rFonts w:ascii="Times New Roman" w:cs="Times New Roman" w:eastAsia="Times New Roman" w:hAnsi="Times New Roman"/>
          <w:sz w:val="16"/>
          <w:szCs w:val="16"/>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F-26</w:t>
      </w:r>
    </w:p>
    <w:p>
      <w:pPr>
        <w:sectPr>
          <w:pgSz w:w="11900" w:h="16838" w:orient="portrait"/>
          <w:cols w:equalWidth="0" w:num="1">
            <w:col w:w="10520"/>
          </w:cols>
          <w:pgMar w:left="320" w:top="447" w:right="10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860" w:hanging="153"/>
        <w:spacing w:after="0"/>
        <w:tabs>
          <w:tab w:leader="none" w:pos="860" w:val="left"/>
        </w:tabs>
        <w:numPr>
          <w:ilvl w:val="0"/>
          <w:numId w:val="1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05" w:lineRule="exact"/>
        <w:rPr>
          <w:rFonts w:ascii="Times New Roman" w:cs="Times New Roman" w:eastAsia="Times New Roman" w:hAnsi="Times New Roman"/>
          <w:sz w:val="16"/>
          <w:szCs w:val="16"/>
          <w:b w:val="1"/>
          <w:bCs w:val="1"/>
          <w:color w:val="auto"/>
        </w:rPr>
      </w:pPr>
    </w:p>
    <w:p>
      <w:pPr>
        <w:ind w:left="7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(k) Fair value measurement (Continued)</w:t>
      </w:r>
    </w:p>
    <w:p>
      <w:pPr>
        <w:spacing w:after="0" w:line="1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Recurring</w:t>
      </w:r>
    </w:p>
    <w:p>
      <w:pPr>
        <w:spacing w:after="0" w:line="109" w:lineRule="exact"/>
        <w:rPr>
          <w:sz w:val="20"/>
          <w:szCs w:val="20"/>
          <w:color w:val="auto"/>
        </w:rPr>
      </w:pPr>
    </w:p>
    <w:p>
      <w:pPr>
        <w:ind w:left="700" w:right="220" w:firstLine="393"/>
        <w:spacing w:after="0" w:line="284" w:lineRule="auto"/>
        <w:rPr>
          <w:sz w:val="20"/>
          <w:szCs w:val="20"/>
          <w:color w:val="auto"/>
        </w:rPr>
      </w:pPr>
      <w:r>
        <w:rPr>
          <w:rFonts w:ascii="Times New Roman" w:cs="Times New Roman" w:eastAsia="Times New Roman" w:hAnsi="Times New Roman"/>
          <w:sz w:val="16"/>
          <w:szCs w:val="16"/>
          <w:color w:val="auto"/>
        </w:rPr>
        <w:t>The Group’s financial instruments are not measured at fair value in the consolidated balance sheets, but for which the fair value is estimated for disclosure purpose.</w:t>
      </w:r>
    </w:p>
    <w:p>
      <w:pPr>
        <w:spacing w:after="0" w:line="143"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The carrying amount of cash and cash equivalents, restricted cash-current portion, accounts receivable, insurance premium receivables, amounts due from related parties, other receivables, accounts payable, insurance premium payables, other payables and amount due to related parties approximate their net carrying values reported in the consolidated balance sheets due to the short-term maturities of these instruments. Restricted cash-non-current portion, long-term borrowings and operating lease liabilities are measured at amortized cost using discounted rates reflected time value of money. As the market interest rate is relatively stable during the reporting period, the carrying values of restricted cash-non-current portion and long-term borrowings approximated their fair values reported in the consolidated balance sheets. Investment accounted for at fair value are measured at fair value.</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Non-recurring</w:t>
      </w:r>
    </w:p>
    <w:p>
      <w:pPr>
        <w:spacing w:after="0" w:line="109" w:lineRule="exact"/>
        <w:rPr>
          <w:sz w:val="20"/>
          <w:szCs w:val="20"/>
          <w:color w:val="auto"/>
        </w:rPr>
      </w:pPr>
    </w:p>
    <w:p>
      <w:pPr>
        <w:ind w:left="700" w:right="240" w:firstLine="393"/>
        <w:spacing w:after="0" w:line="267" w:lineRule="auto"/>
        <w:rPr>
          <w:sz w:val="20"/>
          <w:szCs w:val="20"/>
          <w:color w:val="auto"/>
        </w:rPr>
      </w:pPr>
      <w:r>
        <w:rPr>
          <w:rFonts w:ascii="Times New Roman" w:cs="Times New Roman" w:eastAsia="Times New Roman" w:hAnsi="Times New Roman"/>
          <w:sz w:val="16"/>
          <w:szCs w:val="16"/>
          <w:color w:val="auto"/>
        </w:rPr>
        <w:t>The Group measures certain financial assets, including equity securities without readily determinable fair value and investments under equity method, at fair value on a non-recurring basis only if an impairment charge were to be recognized. The Group’s non-financial assets such as property, equipment, software and licenses, would be measured at fair value only if they were determined to be impaired.</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(l) Property, plant and equipment, net</w:t>
      </w:r>
    </w:p>
    <w:p>
      <w:pPr>
        <w:spacing w:after="0" w:line="107" w:lineRule="exact"/>
        <w:rPr>
          <w:sz w:val="20"/>
          <w:szCs w:val="20"/>
          <w:color w:val="auto"/>
        </w:rPr>
      </w:pPr>
    </w:p>
    <w:p>
      <w:pPr>
        <w:ind w:left="700" w:right="240" w:firstLine="393"/>
        <w:spacing w:after="0" w:line="284" w:lineRule="auto"/>
        <w:rPr>
          <w:sz w:val="20"/>
          <w:szCs w:val="20"/>
          <w:color w:val="auto"/>
        </w:rPr>
      </w:pPr>
      <w:r>
        <w:rPr>
          <w:rFonts w:ascii="Times New Roman" w:cs="Times New Roman" w:eastAsia="Times New Roman" w:hAnsi="Times New Roman"/>
          <w:sz w:val="16"/>
          <w:szCs w:val="16"/>
          <w:color w:val="auto"/>
        </w:rPr>
        <w:t>Property, plant and equipment are stated at cost. Depreciation and amortization are calculated using the straight-line method over the following estimated useful lives, taking into account residual value, if any. The table below sets forth the estimated useful life and residual value:</w:t>
      </w:r>
    </w:p>
    <w:p>
      <w:pPr>
        <w:spacing w:after="0" w:line="164"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Category</w:t>
            </w:r>
          </w:p>
        </w:tc>
        <w:tc>
          <w:tcPr>
            <w:tcW w:w="3560" w:type="dxa"/>
            <w:vAlign w:val="bottom"/>
          </w:tcPr>
          <w:p>
            <w:pPr>
              <w:spacing w:after="0"/>
              <w:rPr>
                <w:sz w:val="13"/>
                <w:szCs w:val="13"/>
                <w:color w:val="auto"/>
              </w:rPr>
            </w:pPr>
          </w:p>
        </w:tc>
        <w:tc>
          <w:tcPr>
            <w:tcW w:w="2460" w:type="dxa"/>
            <w:vAlign w:val="bottom"/>
            <w:gridSpan w:val="2"/>
          </w:tcPr>
          <w:p>
            <w:pPr>
              <w:jc w:val="right"/>
              <w:ind w:right="880"/>
              <w:spacing w:after="0"/>
              <w:rPr>
                <w:sz w:val="20"/>
                <w:szCs w:val="20"/>
                <w:color w:val="auto"/>
              </w:rPr>
            </w:pPr>
            <w:r>
              <w:rPr>
                <w:rFonts w:ascii="Times New Roman" w:cs="Times New Roman" w:eastAsia="Times New Roman" w:hAnsi="Times New Roman"/>
                <w:sz w:val="13"/>
                <w:szCs w:val="13"/>
                <w:color w:val="auto"/>
              </w:rPr>
              <w:t>Estimated useful life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8"/>
              </w:rPr>
              <w:t>Residual value</w:t>
            </w:r>
          </w:p>
        </w:tc>
        <w:tc>
          <w:tcPr>
            <w:tcW w:w="0" w:type="dxa"/>
            <w:vAlign w:val="bottom"/>
          </w:tcPr>
          <w:p>
            <w:pPr>
              <w:spacing w:after="0"/>
              <w:rPr>
                <w:sz w:val="1"/>
                <w:szCs w:val="1"/>
                <w:color w:val="auto"/>
              </w:rPr>
            </w:pPr>
          </w:p>
        </w:tc>
      </w:tr>
      <w:tr>
        <w:trPr>
          <w:trHeight w:val="20"/>
        </w:trPr>
        <w:tc>
          <w:tcPr>
            <w:tcW w:w="4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20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60" w:type="dxa"/>
            <w:vAlign w:val="bottom"/>
            <w:gridSpan w:val="2"/>
            <w:vMerge w:val="continue"/>
            <w:shd w:val="clear" w:color="auto" w:fill="CCEEFF"/>
          </w:tcPr>
          <w:p>
            <w:pPr>
              <w:spacing w:after="0"/>
              <w:rPr>
                <w:sz w:val="15"/>
                <w:szCs w:val="15"/>
                <w:color w:val="auto"/>
              </w:rPr>
            </w:pPr>
          </w:p>
        </w:tc>
        <w:tc>
          <w:tcPr>
            <w:tcW w:w="20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5~10 years</w:t>
            </w:r>
          </w:p>
        </w:tc>
        <w:tc>
          <w:tcPr>
            <w:tcW w:w="380" w:type="dxa"/>
            <w:vAlign w:val="bottom"/>
            <w:vMerge w:val="continue"/>
            <w:shd w:val="clear" w:color="auto" w:fill="CCEEFF"/>
          </w:tcPr>
          <w:p>
            <w:pPr>
              <w:spacing w:after="0"/>
              <w:rPr>
                <w:sz w:val="15"/>
                <w:szCs w:val="15"/>
                <w:color w:val="auto"/>
              </w:rPr>
            </w:pPr>
          </w:p>
        </w:tc>
        <w:tc>
          <w:tcPr>
            <w:tcW w:w="960" w:type="dxa"/>
            <w:vAlign w:val="bottom"/>
            <w:gridSpan w:val="2"/>
            <w:shd w:val="clear" w:color="auto" w:fill="CCEEFF"/>
          </w:tcPr>
          <w:p>
            <w:pPr>
              <w:jc w:val="right"/>
              <w:ind w:right="40"/>
              <w:spacing w:after="0" w:line="177" w:lineRule="exact"/>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193"/>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Computer and electronic equipment</w:t>
            </w:r>
          </w:p>
        </w:tc>
        <w:tc>
          <w:tcPr>
            <w:tcW w:w="24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3~5 years</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19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Motor vehicles</w:t>
            </w:r>
          </w:p>
        </w:tc>
        <w:tc>
          <w:tcPr>
            <w:tcW w:w="2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4~5 years</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76"/>
        </w:trPr>
        <w:tc>
          <w:tcPr>
            <w:tcW w:w="406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Leasehold improvements</w:t>
            </w:r>
          </w:p>
        </w:tc>
        <w:tc>
          <w:tcPr>
            <w:tcW w:w="2460" w:type="dxa"/>
            <w:vAlign w:val="bottom"/>
            <w:gridSpan w:val="2"/>
          </w:tcPr>
          <w:p>
            <w:pPr>
              <w:jc w:val="right"/>
              <w:ind w:right="380"/>
              <w:spacing w:after="0" w:line="176" w:lineRule="exact"/>
              <w:rPr>
                <w:sz w:val="20"/>
                <w:szCs w:val="20"/>
                <w:color w:val="auto"/>
              </w:rPr>
            </w:pPr>
            <w:r>
              <w:rPr>
                <w:rFonts w:ascii="Times New Roman" w:cs="Times New Roman" w:eastAsia="Times New Roman" w:hAnsi="Times New Roman"/>
                <w:sz w:val="16"/>
                <w:szCs w:val="16"/>
                <w:color w:val="auto"/>
              </w:rPr>
              <w:t>shorter of remaining lease</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period and estimated useful life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700" w:right="580" w:firstLine="393"/>
        <w:spacing w:after="0" w:line="267" w:lineRule="auto"/>
        <w:rPr>
          <w:sz w:val="20"/>
          <w:szCs w:val="20"/>
          <w:color w:val="auto"/>
        </w:rPr>
      </w:pPr>
      <w:r>
        <w:rPr>
          <w:rFonts w:ascii="Times New Roman" w:cs="Times New Roman" w:eastAsia="Times New Roman" w:hAnsi="Times New Roman"/>
          <w:sz w:val="16"/>
          <w:szCs w:val="16"/>
          <w:color w:val="auto"/>
        </w:rPr>
        <w:t>Expenditures for maintenance and repairs are expensed as incurred. Upon retirement or sale, the cost of assets disposed of and the related accumulated depreciation/amortization are removed from the accounts and any resulting gain or loss is recognized in consolidated statements of comprehensive income/(loss).</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F-27</w:t>
      </w:r>
    </w:p>
    <w:p>
      <w:pPr>
        <w:sectPr>
          <w:pgSz w:w="11900" w:h="16838" w:orient="portrait"/>
          <w:cols w:equalWidth="0" w:num="1">
            <w:col w:w="10540"/>
          </w:cols>
          <w:pgMar w:left="320" w:top="447" w:right="10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(Continued)</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(m) Intangible assets, net</w:t>
      </w:r>
    </w:p>
    <w:p>
      <w:pPr>
        <w:spacing w:after="0" w:line="107" w:lineRule="exact"/>
        <w:rPr>
          <w:sz w:val="20"/>
          <w:szCs w:val="20"/>
          <w:color w:val="auto"/>
        </w:rPr>
      </w:pPr>
    </w:p>
    <w:p>
      <w:pPr>
        <w:ind w:left="140" w:right="60" w:firstLine="393"/>
        <w:spacing w:after="0" w:line="267" w:lineRule="auto"/>
        <w:rPr>
          <w:sz w:val="20"/>
          <w:szCs w:val="20"/>
          <w:color w:val="auto"/>
        </w:rPr>
      </w:pPr>
      <w:r>
        <w:rPr>
          <w:rFonts w:ascii="Times New Roman" w:cs="Times New Roman" w:eastAsia="Times New Roman" w:hAnsi="Times New Roman"/>
          <w:sz w:val="16"/>
          <w:szCs w:val="16"/>
          <w:color w:val="auto"/>
        </w:rPr>
        <w:t>Intangible assets with an indefinite useful life represent the insurance brokerage license, insurance agency license and insurance adjusting license. Intangible assets with an indefinite useful life are not amortized and are tested for impairment annually or more frequently if events or changes in circumstances indicate that they might be impaired.</w:t>
      </w:r>
    </w:p>
    <w:p>
      <w:pPr>
        <w:spacing w:after="0" w:line="157" w:lineRule="exact"/>
        <w:rPr>
          <w:sz w:val="20"/>
          <w:szCs w:val="20"/>
          <w:color w:val="auto"/>
        </w:rPr>
      </w:pPr>
    </w:p>
    <w:p>
      <w:pPr>
        <w:ind w:left="140" w:right="220" w:firstLine="393"/>
        <w:spacing w:after="0" w:line="284" w:lineRule="auto"/>
        <w:rPr>
          <w:sz w:val="20"/>
          <w:szCs w:val="20"/>
          <w:color w:val="auto"/>
        </w:rPr>
      </w:pPr>
      <w:r>
        <w:rPr>
          <w:rFonts w:ascii="Times New Roman" w:cs="Times New Roman" w:eastAsia="Times New Roman" w:hAnsi="Times New Roman"/>
          <w:sz w:val="16"/>
          <w:szCs w:val="16"/>
          <w:color w:val="auto"/>
        </w:rPr>
        <w:t>Intangible assets with finite lives represent domain name and purchased computer software. These intangible assets are amortized on a straight-line basis over their estimated useful lives of the respective assets. The table below sets forth the estimated useful life and residual value:</w:t>
      </w:r>
    </w:p>
    <w:p>
      <w:pPr>
        <w:spacing w:after="0" w:line="164" w:lineRule="exact"/>
        <w:rPr>
          <w:sz w:val="20"/>
          <w:szCs w:val="20"/>
          <w:color w:val="auto"/>
        </w:rPr>
      </w:pPr>
    </w:p>
    <w:tbl>
      <w:tblPr>
        <w:tblLayout w:type="fixed"/>
        <w:tblInd w:w="1320" w:type="dxa"/>
        <w:tblCellMar>
          <w:top w:w="0" w:type="dxa"/>
          <w:left w:w="0" w:type="dxa"/>
          <w:bottom w:w="0" w:type="dxa"/>
          <w:right w:w="0" w:type="dxa"/>
        </w:tblCellMar>
      </w:tblPr>
      <w:tr>
        <w:trPr>
          <w:trHeight w:val="15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Category</w:t>
            </w:r>
          </w:p>
        </w:tc>
        <w:tc>
          <w:tcPr>
            <w:tcW w:w="430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color w:val="auto"/>
                <w:w w:val="96"/>
              </w:rPr>
              <w:t>Estimated useful life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8"/>
              </w:rPr>
              <w:t>Residual value</w:t>
            </w:r>
          </w:p>
        </w:tc>
        <w:tc>
          <w:tcPr>
            <w:tcW w:w="0" w:type="dxa"/>
            <w:vAlign w:val="bottom"/>
          </w:tcPr>
          <w:p>
            <w:pPr>
              <w:spacing w:after="0"/>
              <w:rPr>
                <w:sz w:val="1"/>
                <w:szCs w:val="1"/>
                <w:color w:val="auto"/>
              </w:rPr>
            </w:pPr>
          </w:p>
        </w:tc>
      </w:tr>
      <w:tr>
        <w:trPr>
          <w:trHeight w:val="20"/>
        </w:trPr>
        <w:tc>
          <w:tcPr>
            <w:tcW w:w="4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Domain name</w:t>
            </w:r>
          </w:p>
        </w:tc>
        <w:tc>
          <w:tcPr>
            <w:tcW w:w="106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00" w:type="dxa"/>
            <w:vAlign w:val="bottom"/>
            <w:gridSpan w:val="2"/>
            <w:vMerge w:val="continue"/>
            <w:shd w:val="clear" w:color="auto" w:fill="CCEEFF"/>
          </w:tcPr>
          <w:p>
            <w:pPr>
              <w:spacing w:after="0"/>
              <w:rPr>
                <w:sz w:val="15"/>
                <w:szCs w:val="15"/>
                <w:color w:val="auto"/>
              </w:rPr>
            </w:pPr>
          </w:p>
        </w:tc>
        <w:tc>
          <w:tcPr>
            <w:tcW w:w="10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10 years</w:t>
            </w:r>
          </w:p>
        </w:tc>
        <w:tc>
          <w:tcPr>
            <w:tcW w:w="660" w:type="dxa"/>
            <w:vAlign w:val="bottom"/>
            <w:vMerge w:val="continue"/>
            <w:shd w:val="clear" w:color="auto" w:fill="CCEEFF"/>
          </w:tcPr>
          <w:p>
            <w:pPr>
              <w:spacing w:after="0"/>
              <w:rPr>
                <w:sz w:val="15"/>
                <w:szCs w:val="15"/>
                <w:color w:val="auto"/>
              </w:rPr>
            </w:pPr>
          </w:p>
        </w:tc>
        <w:tc>
          <w:tcPr>
            <w:tcW w:w="960" w:type="dxa"/>
            <w:vAlign w:val="bottom"/>
            <w:gridSpan w:val="2"/>
            <w:shd w:val="clear" w:color="auto" w:fill="CCEEFF"/>
          </w:tcPr>
          <w:p>
            <w:pPr>
              <w:jc w:val="right"/>
              <w:ind w:right="40"/>
              <w:spacing w:after="0" w:line="177" w:lineRule="exact"/>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9"/>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Purchased computer software</w:t>
            </w:r>
          </w:p>
        </w:tc>
        <w:tc>
          <w:tcPr>
            <w:tcW w:w="17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3~10 years</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(n) Impairment of long-lived assets and intangible assets</w:t>
      </w:r>
    </w:p>
    <w:p>
      <w:pPr>
        <w:spacing w:after="0" w:line="107" w:lineRule="exact"/>
        <w:rPr>
          <w:sz w:val="20"/>
          <w:szCs w:val="20"/>
          <w:color w:val="auto"/>
        </w:rPr>
      </w:pPr>
    </w:p>
    <w:p>
      <w:pPr>
        <w:jc w:val="both"/>
        <w:ind w:left="140" w:right="100" w:firstLine="393"/>
        <w:spacing w:after="0" w:line="259" w:lineRule="auto"/>
        <w:rPr>
          <w:sz w:val="20"/>
          <w:szCs w:val="20"/>
          <w:color w:val="auto"/>
        </w:rPr>
      </w:pPr>
      <w:r>
        <w:rPr>
          <w:rFonts w:ascii="Times New Roman" w:cs="Times New Roman" w:eastAsia="Times New Roman" w:hAnsi="Times New Roman"/>
          <w:sz w:val="16"/>
          <w:szCs w:val="16"/>
          <w:color w:val="auto"/>
        </w:rPr>
        <w:t>Long-lived assets including property, plant and equipment and intangible assets with indefinite lives and finite lives, are assessed for impairment, whenever events or changes in circumstances indicate the carrying value of an asset may not be recoverable. The Group measures the carrying amount of long-lived assets against the estimated undiscounted future cash flows associated with it. Impairment exists when the estimated undiscounted future cash flows are less than the carrying value of the asset being evaluated. Impairment loss is calculated as the amount by which the carrying value of the asset exceeds its fair value. No impairment loss was recognized for the years ended December 31, 2020, 2021 and December 31, 2022.</w:t>
      </w:r>
    </w:p>
    <w:p>
      <w:pPr>
        <w:spacing w:after="0" w:line="2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(o) Goodwill</w:t>
      </w:r>
    </w:p>
    <w:p>
      <w:pPr>
        <w:spacing w:after="0" w:line="107" w:lineRule="exact"/>
        <w:rPr>
          <w:sz w:val="20"/>
          <w:szCs w:val="20"/>
          <w:color w:val="auto"/>
        </w:rPr>
      </w:pPr>
    </w:p>
    <w:p>
      <w:pPr>
        <w:ind w:left="140" w:firstLine="393"/>
        <w:spacing w:after="0" w:line="253" w:lineRule="auto"/>
        <w:rPr>
          <w:sz w:val="20"/>
          <w:szCs w:val="20"/>
          <w:color w:val="auto"/>
        </w:rPr>
      </w:pPr>
      <w:r>
        <w:rPr>
          <w:rFonts w:ascii="Times New Roman" w:cs="Times New Roman" w:eastAsia="Times New Roman" w:hAnsi="Times New Roman"/>
          <w:sz w:val="16"/>
          <w:szCs w:val="16"/>
          <w:color w:val="auto"/>
        </w:rPr>
        <w:t>Goodwill represents the excess of the purchase price over the fair value of the identifiable assets and liabilities acquired in a business combination. 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the fair value of a reporting unit is less than its carrying amount, including goodwill. The Group, however, selects proceed directly to perform a two-step goodwill impairment test. The first step compares the fair value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Application of a goodwill impairment test requires significant management judgment, including the identification of reporting units, assigning assets, liabilities and goodwill to reporting units, and determining the fair value of each reporting unit. The judgment in estimating the fair value of each reporting unit includes estimating future cash flows, determining appropriate discount rates, control premium, comparable companies’ multipliers and making other assumptions. Changes in these estimates and assumptions could materially affect the determination of fair value for each reporting unit.</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F-28</w:t>
      </w:r>
    </w:p>
    <w:p>
      <w:pPr>
        <w:sectPr>
          <w:pgSz w:w="11900" w:h="16838" w:orient="portrait"/>
          <w:cols w:equalWidth="0" w:num="1">
            <w:col w:w="9980"/>
          </w:cols>
          <w:pgMar w:left="880" w:top="447" w:right="10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(Continued)</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(p) Asset acquisition</w:t>
      </w:r>
    </w:p>
    <w:p>
      <w:pPr>
        <w:spacing w:after="0" w:line="107"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When the Company acquires other entities, if the assets acquired and liabilities assumed do not constitute a business, the transaction is accounted for as an asset acquisition. Assets are recognized based on the cost, which generally includes the transaction costs of the asset acquisition, and no gain or loss is recognized unless the fair value of noncash assets given as consideration differs from the assets’ carrying amounts on the Company’s financial statements. The cost of a group of assets acquired in an asset acquisition is allocated to the individual assets acquired or liabilities assumed based on their relative fair value and does not give rise to goodwill.</w:t>
      </w: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(q) Long-term investments</w:t>
      </w:r>
    </w:p>
    <w:p>
      <w:pPr>
        <w:spacing w:after="0" w:line="119" w:lineRule="exact"/>
        <w:rPr>
          <w:sz w:val="20"/>
          <w:szCs w:val="20"/>
          <w:color w:val="auto"/>
        </w:rPr>
      </w:pPr>
    </w:p>
    <w:p>
      <w:pPr>
        <w:ind w:left="1580" w:hanging="487"/>
        <w:spacing w:after="0"/>
        <w:tabs>
          <w:tab w:leader="none" w:pos="15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investments accounted for using the equity method</w:t>
      </w:r>
    </w:p>
    <w:p>
      <w:pPr>
        <w:spacing w:after="0" w:line="105" w:lineRule="exact"/>
        <w:rPr>
          <w:sz w:val="20"/>
          <w:szCs w:val="20"/>
          <w:color w:val="auto"/>
        </w:rPr>
      </w:pPr>
    </w:p>
    <w:p>
      <w:pPr>
        <w:jc w:val="both"/>
        <w:ind w:left="700" w:right="240" w:firstLine="393"/>
        <w:spacing w:after="0" w:line="267" w:lineRule="auto"/>
        <w:rPr>
          <w:sz w:val="20"/>
          <w:szCs w:val="20"/>
          <w:color w:val="auto"/>
        </w:rPr>
      </w:pPr>
      <w:r>
        <w:rPr>
          <w:rFonts w:ascii="Times New Roman" w:cs="Times New Roman" w:eastAsia="Times New Roman" w:hAnsi="Times New Roman"/>
          <w:sz w:val="16"/>
          <w:szCs w:val="16"/>
          <w:color w:val="auto"/>
        </w:rPr>
        <w:t>In accordance with ASC 323, “Investment — Equity Method and Joint Ventures”, the Group applies the equity method of accounting to equity investments, in common stock or in-substance common stock, over which it has significant influence but does not own a majority equity interests or otherwise control.</w:t>
      </w:r>
    </w:p>
    <w:p>
      <w:pPr>
        <w:spacing w:after="0" w:line="157" w:lineRule="exact"/>
        <w:rPr>
          <w:sz w:val="20"/>
          <w:szCs w:val="20"/>
          <w:color w:val="auto"/>
        </w:rPr>
      </w:pPr>
    </w:p>
    <w:p>
      <w:pPr>
        <w:ind w:left="700" w:right="60" w:firstLine="393"/>
        <w:spacing w:after="0" w:line="267" w:lineRule="auto"/>
        <w:rPr>
          <w:sz w:val="20"/>
          <w:szCs w:val="20"/>
          <w:color w:val="auto"/>
        </w:rPr>
      </w:pPr>
      <w:r>
        <w:rPr>
          <w:rFonts w:ascii="Times New Roman" w:cs="Times New Roman" w:eastAsia="Times New Roman" w:hAnsi="Times New Roman"/>
          <w:sz w:val="16"/>
          <w:szCs w:val="16"/>
          <w:color w:val="auto"/>
        </w:rPr>
        <w:t>An investment in in-substance common stock is an investment that has risk and reward characteristics that are substantially similar to that entity’s common stock. The Group considers subordination, risks and rewards of ownership and obligation to transfer value when determining whether an investment in an entity is substantially similar to one in that entity’s common stock.</w:t>
      </w:r>
    </w:p>
    <w:p>
      <w:pPr>
        <w:spacing w:after="0" w:line="157" w:lineRule="exact"/>
        <w:rPr>
          <w:sz w:val="20"/>
          <w:szCs w:val="20"/>
          <w:color w:val="auto"/>
        </w:rPr>
      </w:pPr>
    </w:p>
    <w:p>
      <w:pPr>
        <w:ind w:left="700" w:right="80" w:firstLine="393"/>
        <w:spacing w:after="0" w:line="258" w:lineRule="auto"/>
        <w:rPr>
          <w:sz w:val="20"/>
          <w:szCs w:val="20"/>
          <w:color w:val="auto"/>
        </w:rPr>
      </w:pPr>
      <w:r>
        <w:rPr>
          <w:rFonts w:ascii="Times New Roman" w:cs="Times New Roman" w:eastAsia="Times New Roman" w:hAnsi="Times New Roman"/>
          <w:sz w:val="16"/>
          <w:szCs w:val="16"/>
          <w:color w:val="auto"/>
        </w:rPr>
        <w:t>Under the equity method, the Group initially records its investment at cost. The difference between the cost of the equity investment and the amount of the underlying equity in the net assets of the equity investee is recognized as equity method goodwill or as an intangible asset as appropriate. The Group subsequently adjusts the carrying amount of the investment to recognize the Group’s proportionate share of each equity investee’s net income or loss into the consolidated statements of comprehensive income (loss)after the date of acquisition. When the Group’s share of losses in the equity investee equals or exceeds its interest in the equity investee, the Group does not recognize further losses, unless the Group has incurred obligations or made payments or guarantees on behalf of the equity investee, or the Group holds other investments in the equity investee.</w:t>
      </w:r>
    </w:p>
    <w:p>
      <w:pPr>
        <w:spacing w:after="0" w:line="163" w:lineRule="exact"/>
        <w:rPr>
          <w:sz w:val="20"/>
          <w:szCs w:val="20"/>
          <w:color w:val="auto"/>
        </w:rPr>
      </w:pPr>
    </w:p>
    <w:p>
      <w:pPr>
        <w:ind w:left="700" w:right="180" w:firstLine="393"/>
        <w:spacing w:after="0" w:line="262" w:lineRule="auto"/>
        <w:rPr>
          <w:sz w:val="20"/>
          <w:szCs w:val="20"/>
          <w:color w:val="auto"/>
        </w:rPr>
      </w:pPr>
      <w:r>
        <w:rPr>
          <w:rFonts w:ascii="Times New Roman" w:cs="Times New Roman" w:eastAsia="Times New Roman" w:hAnsi="Times New Roman"/>
          <w:sz w:val="16"/>
          <w:szCs w:val="16"/>
          <w:color w:val="auto"/>
        </w:rPr>
        <w:t>The Group continually reviews its investment in equity investees under the equity method to determine whether a decline in fair value to below the carrying value is other-than-temporary. The primary factors the Group considers in its determination are the duration and severity of the decline in fair value, the financial condition, operating performance and the prospects of the equity investee, and other company specific information such as recent financing rounds.</w:t>
      </w:r>
    </w:p>
    <w:p>
      <w:pPr>
        <w:spacing w:after="0" w:line="161" w:lineRule="exact"/>
        <w:rPr>
          <w:sz w:val="20"/>
          <w:szCs w:val="20"/>
          <w:color w:val="auto"/>
        </w:rPr>
      </w:pPr>
    </w:p>
    <w:p>
      <w:pPr>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The fair value determination, particularly for investments in early stage privately held companies, requires significant judgment to determine appropriate estimates and assumptions. Changes in these estimates and assumptions could affect the calculation of the fair value of the investments and the determination of whether any identified impairment is other-than-temporary. If any impairment is considered other-than-temporary, the Group writes down the asset to its fair value and takes the corresponding charge to the consolidated statements of comprehensive income/(loss).</w:t>
      </w:r>
    </w:p>
    <w:p>
      <w:pPr>
        <w:spacing w:after="0" w:line="10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F-29</w:t>
      </w:r>
    </w:p>
    <w:p>
      <w:pPr>
        <w:sectPr>
          <w:pgSz w:w="11900" w:h="16838" w:orient="portrait"/>
          <w:cols w:equalWidth="0" w:num="1">
            <w:col w:w="10520"/>
          </w:cols>
          <w:pgMar w:left="320" w:top="447" w:right="10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860" w:hanging="153"/>
        <w:spacing w:after="0"/>
        <w:tabs>
          <w:tab w:leader="none" w:pos="860" w:val="left"/>
        </w:tabs>
        <w:numPr>
          <w:ilvl w:val="0"/>
          <w:numId w:val="1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05" w:lineRule="exact"/>
        <w:rPr>
          <w:rFonts w:ascii="Times New Roman" w:cs="Times New Roman" w:eastAsia="Times New Roman" w:hAnsi="Times New Roman"/>
          <w:sz w:val="16"/>
          <w:szCs w:val="16"/>
          <w:b w:val="1"/>
          <w:bCs w:val="1"/>
          <w:color w:val="auto"/>
        </w:rPr>
      </w:pPr>
    </w:p>
    <w:p>
      <w:pPr>
        <w:ind w:left="7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(q) Long-term investments (Continued)</w:t>
      </w:r>
    </w:p>
    <w:p>
      <w:pPr>
        <w:spacing w:after="0" w:line="143" w:lineRule="exact"/>
        <w:rPr>
          <w:sz w:val="20"/>
          <w:szCs w:val="20"/>
          <w:color w:val="auto"/>
        </w:rPr>
      </w:pPr>
    </w:p>
    <w:p>
      <w:pPr>
        <w:ind w:left="1580" w:hanging="487"/>
        <w:spacing w:after="0"/>
        <w:tabs>
          <w:tab w:leader="none" w:pos="15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accounted for at fair values</w:t>
      </w:r>
    </w:p>
    <w:p>
      <w:pPr>
        <w:spacing w:after="0" w:line="105" w:lineRule="exact"/>
        <w:rPr>
          <w:sz w:val="20"/>
          <w:szCs w:val="20"/>
          <w:color w:val="auto"/>
        </w:rPr>
      </w:pPr>
    </w:p>
    <w:p>
      <w:pPr>
        <w:ind w:left="700" w:right="80" w:firstLine="393"/>
        <w:spacing w:after="0" w:line="262" w:lineRule="auto"/>
        <w:rPr>
          <w:sz w:val="20"/>
          <w:szCs w:val="20"/>
          <w:color w:val="auto"/>
        </w:rPr>
      </w:pPr>
      <w:r>
        <w:rPr>
          <w:rFonts w:ascii="Times New Roman" w:cs="Times New Roman" w:eastAsia="Times New Roman" w:hAnsi="Times New Roman"/>
          <w:sz w:val="16"/>
          <w:szCs w:val="16"/>
          <w:color w:val="auto"/>
        </w:rPr>
        <w:t>Securities with readily determinable fair values are measured at fair value. Equity securities accounted for at fair values include investments in i) marketable equity securities, which are publicly traded stock and ii) unlisted companies, for which the Company measures at fair value on a recurring basis. Pursuant to ASC 321, for equity investments measured at fair value with changes in fair value recorded in earnings, the Company does not assess whether those securities are impaired.</w:t>
      </w:r>
    </w:p>
    <w:p>
      <w:pPr>
        <w:spacing w:after="0" w:line="293" w:lineRule="exact"/>
        <w:rPr>
          <w:sz w:val="20"/>
          <w:szCs w:val="20"/>
          <w:color w:val="auto"/>
        </w:rPr>
      </w:pPr>
    </w:p>
    <w:p>
      <w:pPr>
        <w:ind w:left="1580" w:hanging="487"/>
        <w:spacing w:after="0"/>
        <w:tabs>
          <w:tab w:leader="none" w:pos="158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investments measured at measurement alternative and NAV practical expedient</w:t>
      </w:r>
    </w:p>
    <w:p>
      <w:pPr>
        <w:spacing w:after="0" w:line="105" w:lineRule="exact"/>
        <w:rPr>
          <w:sz w:val="20"/>
          <w:szCs w:val="20"/>
          <w:color w:val="auto"/>
        </w:rPr>
      </w:pPr>
    </w:p>
    <w:p>
      <w:pPr>
        <w:ind w:left="700" w:right="120" w:firstLine="393"/>
        <w:spacing w:after="0" w:line="262" w:lineRule="auto"/>
        <w:rPr>
          <w:sz w:val="20"/>
          <w:szCs w:val="20"/>
          <w:color w:val="auto"/>
        </w:rPr>
      </w:pPr>
      <w:r>
        <w:rPr>
          <w:rFonts w:ascii="Times New Roman" w:cs="Times New Roman" w:eastAsia="Times New Roman" w:hAnsi="Times New Roman"/>
          <w:sz w:val="16"/>
          <w:szCs w:val="16"/>
          <w:color w:val="auto"/>
        </w:rPr>
        <w:t>Private equity funds pursue various investment strategies. Investments in private equity funds generally are not redeemable due to the closed-ended nature of these funds. The private equity fund, over which the Group does not have the ability to exercise significant influence, is accounted for under the practical expedient in ASC Topic 820, Fair Value Measurements and Disclosures (“ASC 820”) to estimate fair value using the net asset value per share (or its equivalent) of the investment (“NAV practical expedient”).</w:t>
      </w:r>
    </w:p>
    <w:p>
      <w:pPr>
        <w:spacing w:after="0" w:line="161" w:lineRule="exact"/>
        <w:rPr>
          <w:sz w:val="20"/>
          <w:szCs w:val="20"/>
          <w:color w:val="auto"/>
        </w:rPr>
      </w:pPr>
    </w:p>
    <w:p>
      <w:pPr>
        <w:ind w:left="700" w:right="20" w:firstLine="393"/>
        <w:spacing w:after="0" w:line="256" w:lineRule="auto"/>
        <w:rPr>
          <w:sz w:val="20"/>
          <w:szCs w:val="20"/>
          <w:color w:val="auto"/>
        </w:rPr>
      </w:pPr>
      <w:r>
        <w:rPr>
          <w:rFonts w:ascii="Times New Roman" w:cs="Times New Roman" w:eastAsia="Times New Roman" w:hAnsi="Times New Roman"/>
          <w:sz w:val="16"/>
          <w:szCs w:val="16"/>
          <w:color w:val="auto"/>
        </w:rPr>
        <w:t>For investments in an investee over which the Group does not have significant influence and which do not have readily determinable fair value and do not qualify for NAV practical expedient, the Company elects to record these investments at cost, less impairment, and plus or minus subsequent adjustments for observable price changes, in accordance with ASU 2016-01. Under this measurement alternative, changes in the carrying value of the equity investment will be required to be made whenever there are observable price changes in orderly transactions for the identical or similar investment of the same issuer. For those equity investments that the Company elects to use the measurement alternative, the Company makes a qualitative assessment of whether the investment is impaired at each reporting date. If a qualitative assessment indicates that the investment is impaired, the Company has to estimate the investment’s fair value in accordance with the principles of ASC 820. If the fair value is less than the investment’s carrying value, the Company recognizes an impairment loss in net income/(loss) equal to the difference between the carrying value and fair value.</w:t>
      </w: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 Short-term and long-term borrowings</w:t>
      </w:r>
    </w:p>
    <w:p>
      <w:pPr>
        <w:spacing w:after="0" w:line="107" w:lineRule="exact"/>
        <w:rPr>
          <w:sz w:val="20"/>
          <w:szCs w:val="20"/>
          <w:color w:val="auto"/>
        </w:rPr>
      </w:pPr>
    </w:p>
    <w:p>
      <w:pPr>
        <w:ind w:left="700" w:right="720" w:firstLine="393"/>
        <w:spacing w:after="0" w:line="284" w:lineRule="auto"/>
        <w:rPr>
          <w:sz w:val="20"/>
          <w:szCs w:val="20"/>
          <w:color w:val="auto"/>
        </w:rPr>
      </w:pPr>
      <w:r>
        <w:rPr>
          <w:rFonts w:ascii="Times New Roman" w:cs="Times New Roman" w:eastAsia="Times New Roman" w:hAnsi="Times New Roman"/>
          <w:sz w:val="16"/>
          <w:szCs w:val="16"/>
          <w:color w:val="auto"/>
        </w:rPr>
        <w:t>The short-term and long-term borrowings represent the Group’s borrowings from commercial banks for the working capital. Short-term borrowings include borrowings with maturity terms shorter than one year and the current portion of the long-term borrowings.</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(s) Insurance premium payables</w:t>
      </w:r>
    </w:p>
    <w:p>
      <w:pPr>
        <w:spacing w:after="0" w:line="107"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Insurance premium payables are insurance premiums collected on behalf of insurance companies but not yet remitted as of the balance sheet dates, and insurance premiums due but not yet collected from the insured.</w:t>
      </w:r>
    </w:p>
    <w:p>
      <w:pPr>
        <w:spacing w:after="0" w:line="8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F-30</w:t>
      </w:r>
    </w:p>
    <w:p>
      <w:pPr>
        <w:sectPr>
          <w:pgSz w:w="11900" w:h="16838" w:orient="portrait"/>
          <w:cols w:equalWidth="0" w:num="1">
            <w:col w:w="10540"/>
          </w:cols>
          <w:pgMar w:left="320" w:top="447" w:right="10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(Continued)</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(t) Lease</w:t>
      </w:r>
    </w:p>
    <w:p>
      <w:pPr>
        <w:spacing w:after="0" w:line="107" w:lineRule="exact"/>
        <w:rPr>
          <w:sz w:val="20"/>
          <w:szCs w:val="20"/>
          <w:color w:val="auto"/>
        </w:rPr>
      </w:pPr>
    </w:p>
    <w:p>
      <w:pPr>
        <w:ind w:left="700" w:right="400" w:firstLine="393"/>
        <w:spacing w:after="0" w:line="284" w:lineRule="auto"/>
        <w:rPr>
          <w:sz w:val="20"/>
          <w:szCs w:val="20"/>
          <w:color w:val="auto"/>
        </w:rPr>
      </w:pPr>
      <w:r>
        <w:rPr>
          <w:rFonts w:ascii="Times New Roman" w:cs="Times New Roman" w:eastAsia="Times New Roman" w:hAnsi="Times New Roman"/>
          <w:sz w:val="16"/>
          <w:szCs w:val="16"/>
          <w:color w:val="auto"/>
        </w:rPr>
        <w:t>Before January 1, 2020, the Group adopted ASC Topic 840 (“ASC 840”), Leases, and each lease is classified at the inception date as either a capital lease or an operating lease.</w:t>
      </w:r>
    </w:p>
    <w:p>
      <w:pPr>
        <w:spacing w:after="0" w:line="143" w:lineRule="exact"/>
        <w:rPr>
          <w:sz w:val="20"/>
          <w:szCs w:val="20"/>
          <w:color w:val="auto"/>
        </w:rPr>
      </w:pPr>
    </w:p>
    <w:p>
      <w:pPr>
        <w:ind w:left="700" w:right="60" w:firstLine="393"/>
        <w:spacing w:after="0" w:line="262" w:lineRule="auto"/>
        <w:rPr>
          <w:sz w:val="20"/>
          <w:szCs w:val="20"/>
          <w:color w:val="auto"/>
        </w:rPr>
      </w:pPr>
      <w:r>
        <w:rPr>
          <w:rFonts w:ascii="Times New Roman" w:cs="Times New Roman" w:eastAsia="Times New Roman" w:hAnsi="Times New Roman"/>
          <w:sz w:val="16"/>
          <w:szCs w:val="16"/>
          <w:color w:val="auto"/>
        </w:rPr>
        <w:t>The Group adopted ASU No. 2016-02, Leases (Topic 842) (“ASC 842”) from January 1, 2020, using the modified retrospective approach and applying the transition method which does not require adjustments to comparative periods nor require modified disclosures in the comparative periods. The Group has elected to apply “the package” of practical expedients afforded under ASC 842. Short-term leases have not been recorded on the balance sheet.</w:t>
      </w:r>
    </w:p>
    <w:p>
      <w:pPr>
        <w:spacing w:after="0" w:line="161" w:lineRule="exact"/>
        <w:rPr>
          <w:sz w:val="20"/>
          <w:szCs w:val="20"/>
          <w:color w:val="auto"/>
        </w:rPr>
      </w:pPr>
    </w:p>
    <w:p>
      <w:pPr>
        <w:ind w:left="700" w:right="80" w:firstLine="393"/>
        <w:spacing w:after="0" w:line="256" w:lineRule="auto"/>
        <w:rPr>
          <w:sz w:val="20"/>
          <w:szCs w:val="20"/>
          <w:color w:val="auto"/>
        </w:rPr>
      </w:pPr>
      <w:r>
        <w:rPr>
          <w:rFonts w:ascii="Times New Roman" w:cs="Times New Roman" w:eastAsia="Times New Roman" w:hAnsi="Times New Roman"/>
          <w:sz w:val="16"/>
          <w:szCs w:val="16"/>
          <w:color w:val="auto"/>
        </w:rPr>
        <w:t>The Group determines if an arrangement is a lease or contains a lease at lease inception. For operating leases, the Group recognizes a right of use(“ROU”) asset and a lease liability based on the present value of the lease payments over the lease term on the consolidated balance sheets at commencement date. As most of the Company’s leases do not provide an implicit rate, the Company estimates its incremental borrowing rate based on the information available at the commencement date in determining the present value of lease payments. The incremental borrowing rate is estimated to approximate the interest rate on a collateralized basis with similar terms and payments, and in economic environments where the leased asset is located. Lease terms are determined after taking into account of rental escalation clauses, renewal options and/or termination options, if any. Lease expense is recorded in the consolidated statements of comprehensive income/(loss) on a straight-line basis over the lease term.</w:t>
      </w:r>
    </w:p>
    <w:p>
      <w:pPr>
        <w:spacing w:after="0" w:line="169"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As a lessee, the Group accounts for a modification to a contract as a separate contract (that is, separate from the original contract) when both of the following conditions are present:</w:t>
      </w:r>
    </w:p>
    <w:p>
      <w:pPr>
        <w:spacing w:after="0" w:line="1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 The modification grants the lessee an additional right of use not included in the original lease.</w:t>
      </w:r>
    </w:p>
    <w:p>
      <w:pPr>
        <w:spacing w:after="0" w:line="202" w:lineRule="exact"/>
        <w:rPr>
          <w:sz w:val="20"/>
          <w:szCs w:val="20"/>
          <w:color w:val="auto"/>
        </w:rPr>
      </w:pPr>
    </w:p>
    <w:p>
      <w:pPr>
        <w:ind w:left="700" w:right="460" w:firstLine="393"/>
        <w:spacing w:after="0" w:line="284" w:lineRule="auto"/>
        <w:rPr>
          <w:sz w:val="20"/>
          <w:szCs w:val="20"/>
          <w:color w:val="auto"/>
        </w:rPr>
      </w:pPr>
      <w:r>
        <w:rPr>
          <w:rFonts w:ascii="Times New Roman" w:cs="Times New Roman" w:eastAsia="Times New Roman" w:hAnsi="Times New Roman"/>
          <w:sz w:val="16"/>
          <w:szCs w:val="16"/>
          <w:color w:val="auto"/>
        </w:rPr>
        <w:t>b. The lease payments increase commensurate with the standalone price for the additional right of use, adjusted for the circumstances of the particular contract.</w:t>
      </w:r>
    </w:p>
    <w:p>
      <w:pPr>
        <w:spacing w:after="0" w:line="1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As a lessee, the Group remeasures the lease payments if any of the following occur:</w:t>
      </w:r>
    </w:p>
    <w:p>
      <w:pPr>
        <w:spacing w:after="0" w:line="20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 The lease is modified, and that modification is not accounted for as a separate contract.</w:t>
      </w:r>
    </w:p>
    <w:p>
      <w:pPr>
        <w:spacing w:after="0" w:line="202" w:lineRule="exact"/>
        <w:rPr>
          <w:sz w:val="20"/>
          <w:szCs w:val="20"/>
          <w:color w:val="auto"/>
        </w:rPr>
      </w:pPr>
    </w:p>
    <w:p>
      <w:pPr>
        <w:ind w:left="700" w:right="580" w:firstLine="393"/>
        <w:spacing w:after="0" w:line="284" w:lineRule="auto"/>
        <w:rPr>
          <w:sz w:val="20"/>
          <w:szCs w:val="20"/>
          <w:color w:val="auto"/>
        </w:rPr>
      </w:pPr>
      <w:r>
        <w:rPr>
          <w:rFonts w:ascii="Times New Roman" w:cs="Times New Roman" w:eastAsia="Times New Roman" w:hAnsi="Times New Roman"/>
          <w:sz w:val="16"/>
          <w:szCs w:val="16"/>
          <w:color w:val="auto"/>
        </w:rPr>
        <w:t>b. A contingency upon which some or all of the variable lease payments that will be paid over the remainder of the lease term are based is resolved such that those payments now meet the definition of lease payments.</w:t>
      </w:r>
    </w:p>
    <w:p>
      <w:pPr>
        <w:spacing w:after="0" w:line="1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c. There is a change in any of the following:</w:t>
      </w:r>
    </w:p>
    <w:p>
      <w:pPr>
        <w:spacing w:after="0" w:line="117" w:lineRule="exact"/>
        <w:rPr>
          <w:sz w:val="20"/>
          <w:szCs w:val="20"/>
          <w:color w:val="auto"/>
        </w:rPr>
      </w:pPr>
    </w:p>
    <w:p>
      <w:pPr>
        <w:ind w:left="1580" w:hanging="487"/>
        <w:spacing w:after="0"/>
        <w:tabs>
          <w:tab w:leader="none" w:pos="158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lease term, as described. A lessee shall determine the revised lease payments on the basis of the revised lease term.</w:t>
      </w:r>
    </w:p>
    <w:p>
      <w:pPr>
        <w:spacing w:after="0" w:line="117" w:lineRule="exact"/>
        <w:rPr>
          <w:rFonts w:ascii="Times New Roman" w:cs="Times New Roman" w:eastAsia="Times New Roman" w:hAnsi="Times New Roman"/>
          <w:sz w:val="16"/>
          <w:szCs w:val="16"/>
          <w:color w:val="auto"/>
        </w:rPr>
      </w:pPr>
    </w:p>
    <w:p>
      <w:pPr>
        <w:ind w:left="1580" w:right="380" w:hanging="487"/>
        <w:spacing w:after="0" w:line="284" w:lineRule="auto"/>
        <w:tabs>
          <w:tab w:leader="none" w:pos="158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assessment of whether the lessee is reasonably certain to exercise or not to exercise an option to purchase the underlying asset. A lessee shall determine the revised lease payments to reflect the change in the assessment of the purchase option.</w:t>
      </w:r>
    </w:p>
    <w:p>
      <w:pPr>
        <w:spacing w:after="0" w:line="58" w:lineRule="exact"/>
        <w:rPr>
          <w:rFonts w:ascii="Times New Roman" w:cs="Times New Roman" w:eastAsia="Times New Roman" w:hAnsi="Times New Roman"/>
          <w:sz w:val="16"/>
          <w:szCs w:val="16"/>
          <w:color w:val="auto"/>
        </w:rPr>
      </w:pPr>
    </w:p>
    <w:p>
      <w:pPr>
        <w:ind w:left="1580" w:right="320" w:hanging="487"/>
        <w:spacing w:after="0" w:line="284" w:lineRule="auto"/>
        <w:tabs>
          <w:tab w:leader="none" w:pos="158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probable of being owed by the lessee under residual value guarantees. A lessee shall determine the revised lease payments to reflect the change in amounts probable of being owed by the lessee under residual value guarantees.</w:t>
      </w:r>
    </w:p>
    <w:p>
      <w:pPr>
        <w:spacing w:after="0" w:line="8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F-31</w:t>
      </w:r>
    </w:p>
    <w:p>
      <w:pPr>
        <w:sectPr>
          <w:pgSz w:w="11900" w:h="16838" w:orient="portrait"/>
          <w:cols w:equalWidth="0" w:num="1">
            <w:col w:w="10540"/>
          </w:cols>
          <w:pgMar w:left="320" w:top="447" w:right="10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(Continued)</w:t>
      </w:r>
    </w:p>
    <w:p>
      <w:pPr>
        <w:spacing w:after="0" w:line="141" w:lineRule="exact"/>
        <w:rPr>
          <w:sz w:val="20"/>
          <w:szCs w:val="20"/>
          <w:color w:val="auto"/>
        </w:rPr>
      </w:pPr>
    </w:p>
    <w:p>
      <w:pPr>
        <w:ind w:left="1100" w:right="7060" w:hanging="393"/>
        <w:spacing w:after="0" w:line="378" w:lineRule="auto"/>
        <w:tabs>
          <w:tab w:leader="none" w:pos="943" w:val="left"/>
        </w:tabs>
        <w:numPr>
          <w:ilvl w:val="0"/>
          <w:numId w:val="1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Share-based compensation </w:t>
      </w:r>
      <w:r>
        <w:rPr>
          <w:rFonts w:ascii="Times New Roman" w:cs="Times New Roman" w:eastAsia="Times New Roman" w:hAnsi="Times New Roman"/>
          <w:sz w:val="16"/>
          <w:szCs w:val="16"/>
          <w:i w:val="1"/>
          <w:iCs w:val="1"/>
          <w:color w:val="auto"/>
        </w:rPr>
        <w:t>Employee share-based compensation</w:t>
      </w:r>
    </w:p>
    <w:p>
      <w:pPr>
        <w:spacing w:after="0" w:line="1" w:lineRule="exact"/>
        <w:rPr>
          <w:sz w:val="20"/>
          <w:szCs w:val="20"/>
          <w:color w:val="auto"/>
        </w:rPr>
      </w:pPr>
    </w:p>
    <w:p>
      <w:pPr>
        <w:ind w:left="700" w:firstLine="393"/>
        <w:spacing w:after="0" w:line="255" w:lineRule="auto"/>
        <w:rPr>
          <w:sz w:val="20"/>
          <w:szCs w:val="20"/>
          <w:color w:val="auto"/>
        </w:rPr>
      </w:pPr>
      <w:r>
        <w:rPr>
          <w:rFonts w:ascii="Times New Roman" w:cs="Times New Roman" w:eastAsia="Times New Roman" w:hAnsi="Times New Roman"/>
          <w:sz w:val="16"/>
          <w:szCs w:val="16"/>
          <w:color w:val="auto"/>
        </w:rPr>
        <w:t>All forms of share-based payments to employees, including employee stock options, employee stock purchase plans restricted shares and shares award, are treated the same as any other form of compensation by recognizing the related cost in the consolidated statements of comprehensive income/(loss) in accordance with ASC 718, “Stock Compensation”. In accordance with the guidance, the Company determines whether a share option should be classified and accounted for as a liability award or an equity award. Compensation cost related to employee stock options or similar equity instruments is measured at the grant date based on the fair value of the award. The fair value of a liability-classified award will be re-measured to an updated fair value at each reporting period until the award is settled. The compensation cost is recognized over the requisite service period, which is usually the vesting period. If an award requires satisfaction of performance and service conditions, compensation cost is recognized using graded vesting method. If an award requires only service condition, the Group will use straight line method. For liability-classified award, the Group will true up compensation cost at each reporting period for changes in fair value pro-rated for the portion of the requisite service period rendered.</w:t>
      </w:r>
    </w:p>
    <w:p>
      <w:pPr>
        <w:spacing w:after="0" w:line="169" w:lineRule="exact"/>
        <w:rPr>
          <w:sz w:val="20"/>
          <w:szCs w:val="20"/>
          <w:color w:val="auto"/>
        </w:rPr>
      </w:pPr>
    </w:p>
    <w:p>
      <w:pPr>
        <w:ind w:left="700" w:right="60" w:firstLine="393"/>
        <w:spacing w:after="0" w:line="258" w:lineRule="auto"/>
        <w:rPr>
          <w:sz w:val="20"/>
          <w:szCs w:val="20"/>
          <w:color w:val="auto"/>
        </w:rPr>
      </w:pPr>
      <w:r>
        <w:rPr>
          <w:rFonts w:ascii="Times New Roman" w:cs="Times New Roman" w:eastAsia="Times New Roman" w:hAnsi="Times New Roman"/>
          <w:sz w:val="16"/>
          <w:szCs w:val="16"/>
          <w:color w:val="auto"/>
        </w:rPr>
        <w:t>For restricted shares granted with service conditions and performance conditions and graded vesting features, share-based compensation expenses are recorded net of estimated forfeitures using graded vesting method during the requisite service period, such that expenses are recorded only for those share-based awards that are expected to ultimately vest. For share options granted with service condition and the occurrence of an IPO as performance condition, cumulative share-based compensation expenses for the options that have satisfied the service condition, amounting to RMB16,390, were recorded upon the completion of the IPO in 2020, the remaining share-based compensation expenses are recorded net of estimated forfeitures using graded-vesting method during the requisite service period.</w:t>
      </w:r>
    </w:p>
    <w:p>
      <w:pPr>
        <w:spacing w:after="0" w:line="163" w:lineRule="exact"/>
        <w:rPr>
          <w:sz w:val="20"/>
          <w:szCs w:val="20"/>
          <w:color w:val="auto"/>
        </w:rPr>
      </w:pPr>
    </w:p>
    <w:p>
      <w:pPr>
        <w:ind w:left="700" w:right="60" w:firstLine="393"/>
        <w:spacing w:after="0" w:line="284" w:lineRule="auto"/>
        <w:rPr>
          <w:sz w:val="20"/>
          <w:szCs w:val="20"/>
          <w:color w:val="auto"/>
        </w:rPr>
      </w:pPr>
      <w:r>
        <w:rPr>
          <w:rFonts w:ascii="Times New Roman" w:cs="Times New Roman" w:eastAsia="Times New Roman" w:hAnsi="Times New Roman"/>
          <w:sz w:val="16"/>
          <w:szCs w:val="16"/>
          <w:color w:val="auto"/>
        </w:rPr>
        <w:t>The Group utilizes the binomial option pricing model to determine the fair value of share options, and determines the fair value of restricted share based on the fair value of the underlying common shares at the grant date considering the dilutive effect of restricted share.</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(v) Fair value of redeemable preferred shares and common shares</w:t>
      </w:r>
    </w:p>
    <w:p>
      <w:pPr>
        <w:spacing w:after="0" w:line="107"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Shares of the Company, which do not have quoted market prices, were valued based on the income approach. The income approach involves applying the discounted cash flow analysis based on projected cash flow using the Group’s best estimate as of the valuation dates. Estimating future cash flow requires the Group to analyze projected revenue growth, gross margins, effective tax rates, capital expenditures and working capital requirements. In determining an appropriate discount rate, the Group considered the cost of equity and the rate of return expected by venture capitalists. The Group also applied a discount for lack of marketability given that the shares underlying the award were not publicly traded at the time of grant. Determination of estimated fair value of the Group requires complex and subjective judgments due to its limited financial and operating history, unique business risks and limited public information on companies in China similar to the Group.</w:t>
      </w:r>
    </w:p>
    <w:p>
      <w:pPr>
        <w:spacing w:after="0" w:line="169" w:lineRule="exact"/>
        <w:rPr>
          <w:sz w:val="20"/>
          <w:szCs w:val="20"/>
          <w:color w:val="auto"/>
        </w:rPr>
      </w:pPr>
    </w:p>
    <w:p>
      <w:pPr>
        <w:ind w:left="700" w:right="140" w:firstLine="393"/>
        <w:spacing w:after="0" w:line="256" w:lineRule="auto"/>
        <w:rPr>
          <w:sz w:val="20"/>
          <w:szCs w:val="20"/>
          <w:color w:val="auto"/>
        </w:rPr>
      </w:pPr>
      <w:r>
        <w:rPr>
          <w:rFonts w:ascii="Times New Roman" w:cs="Times New Roman" w:eastAsia="Times New Roman" w:hAnsi="Times New Roman"/>
          <w:sz w:val="16"/>
          <w:szCs w:val="16"/>
          <w:color w:val="auto"/>
        </w:rPr>
        <w:t>Option-pricing method was used to allocate enterprise value to redeemable preferred shares and common shares. The method treats redeemable preferred shares and common shares as call options on the enterprise’s value, with exercise prices based on the redeemable preferred shares. The strike prices of the “options” based on the characteristics of the Group’s capital structure, including number of shares of each class of common shares, seniority levels and redemption values for the redeemable preferred shares. The option-pricing method also involves making estimates of the volatility of the Group’s equity securities. The anticipated timing is based on the plans of board of directors and management of the Group. Estimating the volatility of the share price of a privately held company is complex because there is no readily available market for the shares. Volatility is estimated based on annualized standard deviation of daily stock price return of comparable companies.</w:t>
      </w:r>
    </w:p>
    <w:p>
      <w:pPr>
        <w:spacing w:after="0" w:line="10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F-32</w:t>
      </w:r>
    </w:p>
    <w:p>
      <w:pPr>
        <w:sectPr>
          <w:pgSz w:w="11900" w:h="16838" w:orient="portrait"/>
          <w:cols w:equalWidth="0" w:num="1">
            <w:col w:w="10540"/>
          </w:cols>
          <w:pgMar w:left="320" w:top="447" w:right="10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(Continued)</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(w) Redeemable preferred shares</w:t>
      </w:r>
    </w:p>
    <w:p>
      <w:pPr>
        <w:spacing w:after="0" w:line="107" w:lineRule="exact"/>
        <w:rPr>
          <w:sz w:val="20"/>
          <w:szCs w:val="20"/>
          <w:color w:val="auto"/>
        </w:rPr>
      </w:pPr>
    </w:p>
    <w:p>
      <w:pPr>
        <w:ind w:left="700" w:right="60" w:firstLine="393"/>
        <w:spacing w:after="0" w:line="267" w:lineRule="auto"/>
        <w:rPr>
          <w:sz w:val="20"/>
          <w:szCs w:val="20"/>
          <w:color w:val="auto"/>
        </w:rPr>
      </w:pPr>
      <w:r>
        <w:rPr>
          <w:rFonts w:ascii="Times New Roman" w:cs="Times New Roman" w:eastAsia="Times New Roman" w:hAnsi="Times New Roman"/>
          <w:sz w:val="16"/>
          <w:szCs w:val="16"/>
          <w:color w:val="auto"/>
        </w:rPr>
        <w:t>The Company classified the redeemable preferred shares as mezzanine equity in the consolidated balance sheets because they were redeemable at the holders’ option any time after a certain date and were contingently redeemable upon the occurrence of certain events outside of the Company’s control. The redeemable preferred shares are recorded initially at fair value, net of issuance costs.</w:t>
      </w:r>
    </w:p>
    <w:p>
      <w:pPr>
        <w:spacing w:after="0" w:line="157" w:lineRule="exact"/>
        <w:rPr>
          <w:sz w:val="20"/>
          <w:szCs w:val="20"/>
          <w:color w:val="auto"/>
        </w:rPr>
      </w:pPr>
    </w:p>
    <w:p>
      <w:pPr>
        <w:ind w:left="700" w:right="400" w:firstLine="393"/>
        <w:spacing w:after="0" w:line="284" w:lineRule="auto"/>
        <w:rPr>
          <w:sz w:val="20"/>
          <w:szCs w:val="20"/>
          <w:color w:val="auto"/>
        </w:rPr>
      </w:pPr>
      <w:r>
        <w:rPr>
          <w:rFonts w:ascii="Times New Roman" w:cs="Times New Roman" w:eastAsia="Times New Roman" w:hAnsi="Times New Roman"/>
          <w:sz w:val="16"/>
          <w:szCs w:val="16"/>
          <w:color w:val="auto"/>
        </w:rPr>
        <w:t>The Group determined that the redemption features do not require bifurcation as they either are clearly and closely related to the redeemable preferred shares or do not meet the definition of a derivative.</w:t>
      </w:r>
    </w:p>
    <w:p>
      <w:pPr>
        <w:spacing w:after="0" w:line="143" w:lineRule="exact"/>
        <w:rPr>
          <w:sz w:val="20"/>
          <w:szCs w:val="20"/>
          <w:color w:val="auto"/>
        </w:rPr>
      </w:pPr>
    </w:p>
    <w:p>
      <w:pPr>
        <w:ind w:left="700" w:right="140" w:firstLine="393"/>
        <w:spacing w:after="0" w:line="262" w:lineRule="auto"/>
        <w:rPr>
          <w:sz w:val="20"/>
          <w:szCs w:val="20"/>
          <w:color w:val="auto"/>
        </w:rPr>
      </w:pPr>
      <w:r>
        <w:rPr>
          <w:rFonts w:ascii="Times New Roman" w:cs="Times New Roman" w:eastAsia="Times New Roman" w:hAnsi="Times New Roman"/>
          <w:sz w:val="16"/>
          <w:szCs w:val="16"/>
          <w:color w:val="auto"/>
        </w:rPr>
        <w:t>The Group has determined that there was no embedded beneficial conversion feature (“BCF”) attributable to the redeemable preferred shares. In making this determination, the Group compared the initial effective conversion prices of the redeemable preferred shares and the fair values of the Group’s common shares determined by the Group at the issuance dates. The initial effective conversion prices were greater than the fair values of the common shares to which the redeemable preferred shares are convertible into at the issuance dates.</w:t>
      </w:r>
    </w:p>
    <w:p>
      <w:pPr>
        <w:spacing w:after="0" w:line="161" w:lineRule="exact"/>
        <w:rPr>
          <w:sz w:val="20"/>
          <w:szCs w:val="20"/>
          <w:color w:val="auto"/>
        </w:rPr>
      </w:pPr>
    </w:p>
    <w:p>
      <w:pPr>
        <w:ind w:left="700" w:right="620" w:firstLine="393"/>
        <w:spacing w:after="0" w:line="284" w:lineRule="auto"/>
        <w:rPr>
          <w:sz w:val="20"/>
          <w:szCs w:val="20"/>
          <w:color w:val="auto"/>
        </w:rPr>
      </w:pPr>
      <w:r>
        <w:rPr>
          <w:rFonts w:ascii="Times New Roman" w:cs="Times New Roman" w:eastAsia="Times New Roman" w:hAnsi="Times New Roman"/>
          <w:sz w:val="16"/>
          <w:szCs w:val="16"/>
          <w:color w:val="auto"/>
        </w:rPr>
        <w:t>Subsequently, the carrying amount is increased by periodic accretion, using the interest method, so that the carrying amount will equal to mandatory redemption amount on the redemption date.</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(x) Employee benefit plans</w:t>
      </w:r>
    </w:p>
    <w:p>
      <w:pPr>
        <w:spacing w:after="0" w:line="107"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As stipulated by the regulations of the PRC, the Group’s subsidiaries and VIE in the PRC participate in various defined contribution plans organized by municipal and provincial governments for its employees. The Group is required to make contributions to these plans at a percentage of the salaries, bonuses and certain allowances of the employees. Under these plans, certain pension, medical and other welfare benefits are provided to employees. The Group has no other material obligation for the payment of employee benefits associated with these plans other than the annual contributions described above. The contributions are charged to the consolidated statements of income and comprehensive income/(loss) as they become payable in accordance with the rules of the above mentioned defined contribution plans.</w:t>
      </w:r>
    </w:p>
    <w:p>
      <w:pPr>
        <w:spacing w:after="0" w:line="1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F-33</w:t>
      </w:r>
    </w:p>
    <w:p>
      <w:pPr>
        <w:sectPr>
          <w:pgSz w:w="11900" w:h="16838" w:orient="portrait"/>
          <w:cols w:equalWidth="0" w:num="1">
            <w:col w:w="10520"/>
          </w:cols>
          <w:pgMar w:left="320" w:top="447" w:right="10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(Continued)</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(y) Revenue recognition</w:t>
      </w:r>
    </w:p>
    <w:p>
      <w:pPr>
        <w:spacing w:after="0" w:line="107" w:lineRule="exact"/>
        <w:rPr>
          <w:sz w:val="20"/>
          <w:szCs w:val="20"/>
          <w:color w:val="auto"/>
        </w:rPr>
      </w:pPr>
    </w:p>
    <w:p>
      <w:pPr>
        <w:ind w:left="700" w:right="120" w:firstLine="393"/>
        <w:spacing w:after="0" w:line="267" w:lineRule="auto"/>
        <w:rPr>
          <w:sz w:val="20"/>
          <w:szCs w:val="20"/>
          <w:color w:val="auto"/>
        </w:rPr>
      </w:pPr>
      <w:r>
        <w:rPr>
          <w:rFonts w:ascii="Times New Roman" w:cs="Times New Roman" w:eastAsia="Times New Roman" w:hAnsi="Times New Roman"/>
          <w:sz w:val="16"/>
          <w:szCs w:val="16"/>
          <w:color w:val="auto"/>
        </w:rPr>
        <w:t>Revenue is the transaction price the Group expects to be entitled to in exchange for the promised services in a contract in the common course of the Group’s activities and is recorded net of value-added tax (“VAT”). The services to be accounted for mainly include insurance brokerage and consulting services.</w:t>
      </w:r>
    </w:p>
    <w:p>
      <w:pPr>
        <w:spacing w:after="0" w:line="157" w:lineRule="exact"/>
        <w:rPr>
          <w:sz w:val="20"/>
          <w:szCs w:val="20"/>
          <w:color w:val="auto"/>
        </w:rPr>
      </w:pPr>
    </w:p>
    <w:p>
      <w:pPr>
        <w:ind w:left="700" w:right="40" w:firstLine="393"/>
        <w:spacing w:after="0" w:line="284" w:lineRule="auto"/>
        <w:rPr>
          <w:sz w:val="20"/>
          <w:szCs w:val="20"/>
          <w:color w:val="auto"/>
        </w:rPr>
      </w:pPr>
      <w:r>
        <w:rPr>
          <w:rFonts w:ascii="Times New Roman" w:cs="Times New Roman" w:eastAsia="Times New Roman" w:hAnsi="Times New Roman"/>
          <w:sz w:val="16"/>
          <w:szCs w:val="16"/>
          <w:color w:val="auto"/>
        </w:rPr>
        <w:t>The Group has adopted ASU 2014-09, Revenue from Contracts with Customers (Topic 606) and all subsequent ASUs that modified ASC 606 on January 1, 2017.</w:t>
      </w:r>
    </w:p>
    <w:p>
      <w:pPr>
        <w:spacing w:after="0" w:line="143" w:lineRule="exact"/>
        <w:rPr>
          <w:sz w:val="20"/>
          <w:szCs w:val="20"/>
          <w:color w:val="auto"/>
        </w:rPr>
      </w:pPr>
    </w:p>
    <w:p>
      <w:pPr>
        <w:ind w:left="700" w:right="100" w:firstLine="393"/>
        <w:spacing w:after="0" w:line="267" w:lineRule="auto"/>
        <w:rPr>
          <w:sz w:val="20"/>
          <w:szCs w:val="20"/>
          <w:color w:val="auto"/>
        </w:rPr>
      </w:pPr>
      <w:r>
        <w:rPr>
          <w:rFonts w:ascii="Times New Roman" w:cs="Times New Roman" w:eastAsia="Times New Roman" w:hAnsi="Times New Roman"/>
          <w:sz w:val="16"/>
          <w:szCs w:val="16"/>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the Group applies the following steps:</w:t>
      </w:r>
    </w:p>
    <w:p>
      <w:pPr>
        <w:spacing w:after="0" w:line="73" w:lineRule="exact"/>
        <w:rPr>
          <w:sz w:val="20"/>
          <w:szCs w:val="20"/>
          <w:color w:val="auto"/>
        </w:rPr>
      </w:pPr>
    </w:p>
    <w:p>
      <w:pPr>
        <w:ind w:left="1580" w:hanging="487"/>
        <w:spacing w:after="0"/>
        <w:tabs>
          <w:tab w:leader="none" w:pos="15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Step 1: Identify the contract (s) with a customer</w:t>
      </w:r>
    </w:p>
    <w:p>
      <w:pPr>
        <w:spacing w:after="0" w:line="117" w:lineRule="exact"/>
        <w:rPr>
          <w:rFonts w:ascii="Times New Roman" w:cs="Times New Roman" w:eastAsia="Times New Roman" w:hAnsi="Times New Roman"/>
          <w:sz w:val="16"/>
          <w:szCs w:val="16"/>
          <w:color w:val="auto"/>
        </w:rPr>
      </w:pPr>
    </w:p>
    <w:p>
      <w:pPr>
        <w:ind w:left="1580" w:hanging="487"/>
        <w:spacing w:after="0"/>
        <w:tabs>
          <w:tab w:leader="none" w:pos="15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Step 2: Identify the performance obligations in the contract</w:t>
      </w:r>
    </w:p>
    <w:p>
      <w:pPr>
        <w:spacing w:after="0" w:line="117" w:lineRule="exact"/>
        <w:rPr>
          <w:rFonts w:ascii="Times New Roman" w:cs="Times New Roman" w:eastAsia="Times New Roman" w:hAnsi="Times New Roman"/>
          <w:sz w:val="16"/>
          <w:szCs w:val="16"/>
          <w:color w:val="auto"/>
        </w:rPr>
      </w:pPr>
    </w:p>
    <w:p>
      <w:pPr>
        <w:ind w:left="1580" w:hanging="487"/>
        <w:spacing w:after="0"/>
        <w:tabs>
          <w:tab w:leader="none" w:pos="15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Step 3: Determine the transaction price</w:t>
      </w:r>
    </w:p>
    <w:p>
      <w:pPr>
        <w:spacing w:after="0" w:line="117" w:lineRule="exact"/>
        <w:rPr>
          <w:rFonts w:ascii="Times New Roman" w:cs="Times New Roman" w:eastAsia="Times New Roman" w:hAnsi="Times New Roman"/>
          <w:sz w:val="16"/>
          <w:szCs w:val="16"/>
          <w:color w:val="auto"/>
        </w:rPr>
      </w:pPr>
    </w:p>
    <w:p>
      <w:pPr>
        <w:ind w:left="1580" w:hanging="487"/>
        <w:spacing w:after="0"/>
        <w:tabs>
          <w:tab w:leader="none" w:pos="15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Step 4: Allocate the transaction price to the performance obligations in the contract</w:t>
      </w:r>
    </w:p>
    <w:p>
      <w:pPr>
        <w:spacing w:after="0" w:line="117" w:lineRule="exact"/>
        <w:rPr>
          <w:rFonts w:ascii="Times New Roman" w:cs="Times New Roman" w:eastAsia="Times New Roman" w:hAnsi="Times New Roman"/>
          <w:sz w:val="16"/>
          <w:szCs w:val="16"/>
          <w:color w:val="auto"/>
        </w:rPr>
      </w:pPr>
    </w:p>
    <w:p>
      <w:pPr>
        <w:ind w:left="1580" w:hanging="487"/>
        <w:spacing w:after="0"/>
        <w:tabs>
          <w:tab w:leader="none" w:pos="15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Step 5: Recognize revenue when (or as) the entity satisfies a performance obligation</w:t>
      </w:r>
    </w:p>
    <w:p>
      <w:pPr>
        <w:spacing w:after="0" w:line="202" w:lineRule="exact"/>
        <w:rPr>
          <w:sz w:val="20"/>
          <w:szCs w:val="20"/>
          <w:color w:val="auto"/>
        </w:rPr>
      </w:pPr>
    </w:p>
    <w:p>
      <w:pPr>
        <w:ind w:left="700" w:right="120" w:firstLine="393"/>
        <w:spacing w:after="0" w:line="284" w:lineRule="auto"/>
        <w:rPr>
          <w:sz w:val="20"/>
          <w:szCs w:val="20"/>
          <w:color w:val="auto"/>
        </w:rPr>
      </w:pPr>
      <w:r>
        <w:rPr>
          <w:rFonts w:ascii="Times New Roman" w:cs="Times New Roman" w:eastAsia="Times New Roman" w:hAnsi="Times New Roman"/>
          <w:sz w:val="16"/>
          <w:szCs w:val="16"/>
          <w:color w:val="auto"/>
        </w:rPr>
        <w:t>According to Topic 606, the Group’s right to consideration in exchange for goods or services that the Group has transferred to a customer is recognized as a contract asset. The Group recognize a contract liability if the customer’s payment of consideration precedes the Group’s performance.</w:t>
      </w:r>
    </w:p>
    <w:p>
      <w:pPr>
        <w:spacing w:after="0" w:line="23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u w:val="single" w:color="auto"/>
          <w:color w:val="auto"/>
        </w:rPr>
        <w:t>Insurance brokerage services</w:t>
      </w:r>
    </w:p>
    <w:p>
      <w:pPr>
        <w:spacing w:after="0" w:line="107"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The primary source of revenues is commissions from insurance brokerage services, determined based on a percentage of total premiums paid by insured over the term of the insurance policy. The brokerage fee rate, which is paid by the insurance companies, shall be based on the terms specified in the annual service contract with the insurance company for each product sold through the Group. The transaction price includes variable service fees which is estimated using the expected value method and is limited to the amount of variable consideration that is probable not to be reversed in future periods. The Group assesses whether the estimate of variable consideration is constrained. The Group determines that the insurance company, or the insurer, is its customer in this agreement. Insurance brokerage services revenue is recognized when the signed insurance policy is in place and the premium is collected from the insured since the Company has fulfilled its performance obligation to sell an insurance policy on behalf of the insurance company.</w:t>
      </w:r>
    </w:p>
    <w:p>
      <w:pPr>
        <w:spacing w:after="0" w:line="165" w:lineRule="exact"/>
        <w:rPr>
          <w:sz w:val="20"/>
          <w:szCs w:val="20"/>
          <w:color w:val="auto"/>
        </w:rPr>
      </w:pPr>
    </w:p>
    <w:p>
      <w:pPr>
        <w:ind w:left="700" w:right="620" w:firstLine="393"/>
        <w:spacing w:after="0" w:line="284" w:lineRule="auto"/>
        <w:rPr>
          <w:sz w:val="20"/>
          <w:szCs w:val="20"/>
          <w:color w:val="auto"/>
        </w:rPr>
      </w:pPr>
      <w:r>
        <w:rPr>
          <w:rFonts w:ascii="Times New Roman" w:cs="Times New Roman" w:eastAsia="Times New Roman" w:hAnsi="Times New Roman"/>
          <w:sz w:val="16"/>
          <w:szCs w:val="16"/>
          <w:color w:val="auto"/>
        </w:rPr>
        <w:t>The Group is also entitled to a performance bonus from insurance companies if the cumulative average monthly sales volume exceeds a predetermined level. Such bonus is determined at the end of each month and recognized as revenue.</w:t>
      </w:r>
    </w:p>
    <w:p>
      <w:pPr>
        <w:spacing w:after="0" w:line="23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u w:val="single" w:color="auto"/>
          <w:color w:val="auto"/>
        </w:rPr>
        <w:t>Other services</w:t>
      </w:r>
    </w:p>
    <w:p>
      <w:pPr>
        <w:spacing w:after="0" w:line="107" w:lineRule="exact"/>
        <w:rPr>
          <w:sz w:val="20"/>
          <w:szCs w:val="20"/>
          <w:color w:val="auto"/>
        </w:rPr>
      </w:pPr>
    </w:p>
    <w:p>
      <w:pPr>
        <w:ind w:left="700" w:right="20" w:firstLine="393"/>
        <w:spacing w:after="0" w:line="259" w:lineRule="auto"/>
        <w:rPr>
          <w:sz w:val="20"/>
          <w:szCs w:val="20"/>
          <w:color w:val="auto"/>
        </w:rPr>
      </w:pPr>
      <w:r>
        <w:rPr>
          <w:rFonts w:ascii="Times New Roman" w:cs="Times New Roman" w:eastAsia="Times New Roman" w:hAnsi="Times New Roman"/>
          <w:sz w:val="16"/>
          <w:szCs w:val="16"/>
          <w:color w:val="auto"/>
        </w:rPr>
        <w:t>The Group provides digital and technology development services to certain insurance companies. Upon the delivery of programs developed, the Group’s performance obligation related to the technology service has been fully fulfilled. However, the timing of revenue recognition may differ from contract to contract based on whether performance obligations satisfy the criteria of recognizing revenue over time, in accordance with ASC 606. Since the deliverables usually do not have alternative use to the Group, revenue is recognized over time once there is an indicator that the Group has an enforceable right to payment for performance completed to date. Otherwise, the revenue is recognized at a point in time.</w:t>
      </w:r>
    </w:p>
    <w:p>
      <w:pPr>
        <w:spacing w:after="0" w:line="1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F-34</w:t>
      </w:r>
    </w:p>
    <w:p>
      <w:pPr>
        <w:sectPr>
          <w:pgSz w:w="11900" w:h="16838" w:orient="portrait"/>
          <w:cols w:equalWidth="0" w:num="1">
            <w:col w:w="10460"/>
          </w:cols>
          <w:pgMar w:left="320" w:top="447" w:right="11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860" w:hanging="153"/>
        <w:spacing w:after="0"/>
        <w:tabs>
          <w:tab w:leader="none" w:pos="860" w:val="left"/>
        </w:tabs>
        <w:numPr>
          <w:ilvl w:val="0"/>
          <w:numId w:val="1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05" w:lineRule="exact"/>
        <w:rPr>
          <w:rFonts w:ascii="Times New Roman" w:cs="Times New Roman" w:eastAsia="Times New Roman" w:hAnsi="Times New Roman"/>
          <w:sz w:val="16"/>
          <w:szCs w:val="16"/>
          <w:b w:val="1"/>
          <w:bCs w:val="1"/>
          <w:color w:val="auto"/>
        </w:rPr>
      </w:pPr>
    </w:p>
    <w:p>
      <w:pPr>
        <w:ind w:left="7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(y) Revenue recognition (Continued)</w:t>
      </w:r>
    </w:p>
    <w:p>
      <w:pPr>
        <w:spacing w:after="0" w:line="143" w:lineRule="exact"/>
        <w:rPr>
          <w:sz w:val="20"/>
          <w:szCs w:val="20"/>
          <w:color w:val="auto"/>
        </w:rPr>
      </w:pPr>
    </w:p>
    <w:p>
      <w:pPr>
        <w:ind w:left="700" w:right="80" w:firstLine="393"/>
        <w:spacing w:after="0" w:line="256" w:lineRule="auto"/>
        <w:rPr>
          <w:sz w:val="20"/>
          <w:szCs w:val="20"/>
          <w:color w:val="auto"/>
        </w:rPr>
      </w:pPr>
      <w:r>
        <w:rPr>
          <w:rFonts w:ascii="Times New Roman" w:cs="Times New Roman" w:eastAsia="Times New Roman" w:hAnsi="Times New Roman"/>
          <w:sz w:val="16"/>
          <w:szCs w:val="16"/>
          <w:color w:val="auto"/>
        </w:rPr>
        <w:t>For cargo insurance products, in addition to the commission from brokerage service paid by the insurance companies, the Group also generates service fees from rendering consulting service to assist the insured to obtain such a cargo insurance policy. The Group determines that the insured is its customer in this consulting service arrangement. Upon successful purchase of cargo insurance products by the insured, the Group’s performance obligation related to consulting service to the insured has been fully fulfilled, as such, revenue for those services is recognized when the insurance product has been purchased. While the insurance premium is set by the respective insurance companies, the consulting service fee is determined by the Group based on a percentage of insurance premium. Of the total contract price received from the insured, the amount equal to the premium of the cargo insurance product as agreed with insurance company is recorded as insurance premium payable while the remaining is recorded as revenue for the consulting service.</w:t>
      </w:r>
    </w:p>
    <w:p>
      <w:pPr>
        <w:spacing w:after="0" w:line="2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u w:val="single" w:color="auto"/>
          <w:color w:val="auto"/>
        </w:rPr>
        <w:t>Value added tax</w:t>
      </w:r>
    </w:p>
    <w:p>
      <w:pPr>
        <w:spacing w:after="0" w:line="107" w:lineRule="exact"/>
        <w:rPr>
          <w:sz w:val="20"/>
          <w:szCs w:val="20"/>
          <w:color w:val="auto"/>
        </w:rPr>
      </w:pPr>
    </w:p>
    <w:p>
      <w:pPr>
        <w:ind w:left="700" w:right="60" w:firstLine="393"/>
        <w:spacing w:after="0" w:line="284" w:lineRule="auto"/>
        <w:rPr>
          <w:sz w:val="20"/>
          <w:szCs w:val="20"/>
          <w:color w:val="auto"/>
        </w:rPr>
      </w:pPr>
      <w:r>
        <w:rPr>
          <w:rFonts w:ascii="Times New Roman" w:cs="Times New Roman" w:eastAsia="Times New Roman" w:hAnsi="Times New Roman"/>
          <w:sz w:val="16"/>
          <w:szCs w:val="16"/>
          <w:color w:val="auto"/>
        </w:rPr>
        <w:t>The Group is subject to value-added-tax (“VAT”) on the revenues earned for services provided in the PRC. The applicable rate of value added tax is 6%. In the accompanying consolidated statements of comprehensive income/(loss), such VAT is excluded from net revenues.</w:t>
      </w:r>
    </w:p>
    <w:p>
      <w:pPr>
        <w:spacing w:after="0" w:line="23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u w:val="single" w:color="auto"/>
          <w:color w:val="auto"/>
        </w:rPr>
        <w:t>Contract Balance</w:t>
      </w:r>
    </w:p>
    <w:p>
      <w:pPr>
        <w:spacing w:after="0" w:line="107" w:lineRule="exact"/>
        <w:rPr>
          <w:sz w:val="20"/>
          <w:szCs w:val="20"/>
          <w:color w:val="auto"/>
        </w:rPr>
      </w:pPr>
    </w:p>
    <w:p>
      <w:pPr>
        <w:ind w:left="700" w:right="80" w:firstLine="393"/>
        <w:spacing w:after="0" w:line="256" w:lineRule="auto"/>
        <w:rPr>
          <w:sz w:val="20"/>
          <w:szCs w:val="20"/>
          <w:color w:val="auto"/>
        </w:rPr>
      </w:pPr>
      <w:r>
        <w:rPr>
          <w:rFonts w:ascii="Times New Roman" w:cs="Times New Roman" w:eastAsia="Times New Roman" w:hAnsi="Times New Roman"/>
          <w:sz w:val="16"/>
          <w:szCs w:val="16"/>
          <w:color w:val="auto"/>
        </w:rPr>
        <w:t>The Group classifies its right to consideration in exchange for products or services transferred to a customer as either a receivable or a contract asset. A receivable is a right to consideration that is unconditional as compared to a contract asset which is a right to consideration that is conditional upon factors other than the passage of time. Generally, the amount of revenue recognized from insurance brokerage services exceeds the amount billed to customers following the predetermined premium payment schedules at inception of the insurance policy. The Group does not have an unconditional right to such exceeding amount. Accounts receivable represent the considerations for which the Group has satisfied its performance obligations and has the unconditional right to consideration. At each reporting date, the Group assesses whether there is any indicator of impairment to the contract assets and accounts receivable (Note 2(i)). An impairment loss, if any, is recorded as general and administrative expenses on the Consolidated Statements of Comprehensive Income/(Loss).</w:t>
      </w: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(z) Cost of revenue</w:t>
      </w:r>
    </w:p>
    <w:p>
      <w:pPr>
        <w:spacing w:after="0" w:line="107"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A large component of the Group’s cost of brokerage income is channel cost, which is service fee paid to user traffic channels for successful sales, including social media influencers, emerging media channels and financial institutions. These user traffic channels have influences over their followers and users, who are potential insurance policyholders. Determination of channel cost is based on the service fee rate multiplied by the insurance premium sold. Channel cost is recognized in the year it incurred. The accounts payable represent channel cost payable to user traffic channels.</w:t>
      </w:r>
    </w:p>
    <w:p>
      <w:pPr>
        <w:spacing w:after="0" w:line="161" w:lineRule="exact"/>
        <w:rPr>
          <w:sz w:val="20"/>
          <w:szCs w:val="20"/>
          <w:color w:val="auto"/>
        </w:rPr>
      </w:pPr>
    </w:p>
    <w:p>
      <w:pPr>
        <w:ind w:left="700" w:right="400" w:firstLine="393"/>
        <w:spacing w:after="0" w:line="284" w:lineRule="auto"/>
        <w:rPr>
          <w:sz w:val="20"/>
          <w:szCs w:val="20"/>
          <w:color w:val="auto"/>
        </w:rPr>
      </w:pPr>
      <w:r>
        <w:rPr>
          <w:rFonts w:ascii="Times New Roman" w:cs="Times New Roman" w:eastAsia="Times New Roman" w:hAnsi="Times New Roman"/>
          <w:sz w:val="16"/>
          <w:szCs w:val="16"/>
          <w:color w:val="auto"/>
        </w:rPr>
        <w:t>Another component of cost of brokerage income is payroll of insurance consultants, who are in charge of identifying and acquiring potential customers through providing advices related to insurance product.</w:t>
      </w:r>
    </w:p>
    <w:p>
      <w:pPr>
        <w:spacing w:after="0" w:line="1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Cost of other income mainly consists of payroll for digital and technology development services.</w:t>
      </w:r>
    </w:p>
    <w:p>
      <w:pPr>
        <w:spacing w:after="0" w:line="2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(aa) Selling expenses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Group records its marketing campaign expenses and loyalty points as selling expenses.</w:t>
      </w:r>
    </w:p>
    <w:p>
      <w:pPr>
        <w:spacing w:after="0" w:line="202" w:lineRule="exact"/>
        <w:rPr>
          <w:sz w:val="20"/>
          <w:szCs w:val="20"/>
          <w:color w:val="auto"/>
        </w:rPr>
      </w:pPr>
    </w:p>
    <w:p>
      <w:pPr>
        <w:ind w:left="700" w:right="220" w:firstLine="393"/>
        <w:spacing w:after="0" w:line="262" w:lineRule="auto"/>
        <w:rPr>
          <w:sz w:val="20"/>
          <w:szCs w:val="20"/>
          <w:color w:val="auto"/>
        </w:rPr>
      </w:pPr>
      <w:r>
        <w:rPr>
          <w:rFonts w:ascii="Times New Roman" w:cs="Times New Roman" w:eastAsia="Times New Roman" w:hAnsi="Times New Roman"/>
          <w:sz w:val="16"/>
          <w:szCs w:val="16"/>
          <w:color w:val="auto"/>
        </w:rPr>
        <w:t>Marketing campaign expenses consist primarily of advertising and marketing expenses. Advertising and marketing expenses are charged to the consolidated statements of comprehensive income/(loss) as incurred. Beside marketing campaign expenses, selling expenses consist of salaries and employment benefits for employees who work in brokerage service line, office rental, telecommunications and office supply expenses incurred in connection with sales activities.</w:t>
      </w:r>
    </w:p>
    <w:p>
      <w:pPr>
        <w:spacing w:after="0" w:line="10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F-35</w:t>
      </w:r>
    </w:p>
    <w:p>
      <w:pPr>
        <w:sectPr>
          <w:pgSz w:w="11900" w:h="16838" w:orient="portrait"/>
          <w:cols w:equalWidth="0" w:num="1">
            <w:col w:w="10520"/>
          </w:cols>
          <w:pgMar w:left="320" w:top="447" w:right="10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right="5840" w:firstLine="7"/>
        <w:spacing w:after="0" w:line="402" w:lineRule="auto"/>
        <w:tabs>
          <w:tab w:leader="none" w:pos="861" w:val="left"/>
        </w:tabs>
        <w:numPr>
          <w:ilvl w:val="0"/>
          <w:numId w:val="1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 (aa) Selling expenses (Continued)</w:t>
      </w:r>
    </w:p>
    <w:p>
      <w:pPr>
        <w:ind w:left="700" w:right="100" w:firstLine="393"/>
        <w:spacing w:after="0" w:line="258" w:lineRule="auto"/>
        <w:rPr>
          <w:sz w:val="20"/>
          <w:szCs w:val="20"/>
          <w:color w:val="auto"/>
        </w:rPr>
      </w:pPr>
      <w:r>
        <w:rPr>
          <w:rFonts w:ascii="Times New Roman" w:cs="Times New Roman" w:eastAsia="Times New Roman" w:hAnsi="Times New Roman"/>
          <w:sz w:val="16"/>
          <w:szCs w:val="16"/>
          <w:color w:val="auto"/>
        </w:rPr>
        <w:t>The Group operates a loyalty program which offers points to its users. Such loyalty points can be used to redeem a variety of gifts and services that the Group purchased from third-party providers. Users have a variety of ways to obtain the points, such as signing up an account, inviting friends, and comment on the insurance product, etc. The Group accounts for such points as selling expenses with a corresponding liability recorded under other payables and accrued expenses of consolidated balance sheets upon the offering of these points. The Group estimates liabilities under the loyalty program based on cost of the gifts and services that can be redeemed taking into account estimated breakage. At the time of redemption, the Group records a reduction of other payables and accrued expenses.</w:t>
      </w:r>
    </w:p>
    <w:p>
      <w:pPr>
        <w:spacing w:after="0" w:line="2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(bb) General and administrative Expenses</w:t>
      </w:r>
    </w:p>
    <w:p>
      <w:pPr>
        <w:spacing w:after="0" w:line="107" w:lineRule="exact"/>
        <w:rPr>
          <w:sz w:val="20"/>
          <w:szCs w:val="20"/>
          <w:color w:val="auto"/>
        </w:rPr>
      </w:pPr>
    </w:p>
    <w:p>
      <w:pPr>
        <w:ind w:left="700" w:right="160" w:firstLine="393"/>
        <w:spacing w:after="0" w:line="267" w:lineRule="auto"/>
        <w:rPr>
          <w:sz w:val="20"/>
          <w:szCs w:val="20"/>
          <w:color w:val="auto"/>
        </w:rPr>
      </w:pPr>
      <w:r>
        <w:rPr>
          <w:rFonts w:ascii="Times New Roman" w:cs="Times New Roman" w:eastAsia="Times New Roman" w:hAnsi="Times New Roman"/>
          <w:sz w:val="16"/>
          <w:szCs w:val="16"/>
          <w:color w:val="auto"/>
        </w:rPr>
        <w:t>General and administrative expenses consist of payroll, rental, and related expenses for employees involved in general corporate functions, including finance, legal and human resources, as well as costs associated with use of facilities and equipment, such as depreciation expenses and other general corporate related expenses.</w:t>
      </w:r>
    </w:p>
    <w:p>
      <w:pPr>
        <w:spacing w:after="0" w:line="15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General and administrative expenses also include surcharges on VAT payments according to PRC tax.</w:t>
      </w:r>
    </w:p>
    <w:p>
      <w:pPr>
        <w:spacing w:after="0" w:line="2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(cc) Research and development expenses</w:t>
      </w:r>
    </w:p>
    <w:p>
      <w:pPr>
        <w:spacing w:after="0" w:line="107" w:lineRule="exact"/>
        <w:rPr>
          <w:sz w:val="20"/>
          <w:szCs w:val="20"/>
          <w:color w:val="auto"/>
        </w:rPr>
      </w:pPr>
    </w:p>
    <w:p>
      <w:pPr>
        <w:jc w:val="both"/>
        <w:ind w:left="700" w:right="240" w:firstLine="393"/>
        <w:spacing w:after="0" w:line="267" w:lineRule="auto"/>
        <w:rPr>
          <w:sz w:val="20"/>
          <w:szCs w:val="20"/>
          <w:color w:val="auto"/>
        </w:rPr>
      </w:pPr>
      <w:r>
        <w:rPr>
          <w:rFonts w:ascii="Times New Roman" w:cs="Times New Roman" w:eastAsia="Times New Roman" w:hAnsi="Times New Roman"/>
          <w:sz w:val="16"/>
          <w:szCs w:val="16"/>
          <w:color w:val="auto"/>
        </w:rPr>
        <w:t>Research and development expenses consist primarily of payroll for research and development employees involved in designing and testing of new products and service and outsourcing labor costs. All research and development costs have been expensed as incurred as the costs qualifying for capitalization have been insignificant.</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(dd) Others, net</w:t>
      </w:r>
    </w:p>
    <w:p>
      <w:pPr>
        <w:spacing w:after="0" w:line="107" w:lineRule="exact"/>
        <w:rPr>
          <w:sz w:val="20"/>
          <w:szCs w:val="20"/>
          <w:color w:val="auto"/>
        </w:rPr>
      </w:pPr>
    </w:p>
    <w:p>
      <w:pPr>
        <w:ind w:left="700" w:right="400" w:firstLine="393"/>
        <w:spacing w:after="0" w:line="284" w:lineRule="auto"/>
        <w:rPr>
          <w:sz w:val="20"/>
          <w:szCs w:val="20"/>
          <w:color w:val="auto"/>
        </w:rPr>
      </w:pPr>
      <w:r>
        <w:rPr>
          <w:rFonts w:ascii="Times New Roman" w:cs="Times New Roman" w:eastAsia="Times New Roman" w:hAnsi="Times New Roman"/>
          <w:sz w:val="16"/>
          <w:szCs w:val="16"/>
          <w:color w:val="auto"/>
        </w:rPr>
        <w:t>Others, net, mainly consist of non-operating income and expenses. During the year ended December 31, 2022, it was composed primarily of RMB12,779 government subsidies and RMB6,702 gain on termination of lease contracts.</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(ee) Taxation</w:t>
      </w:r>
    </w:p>
    <w:p>
      <w:pPr>
        <w:spacing w:after="0" w:line="107" w:lineRule="exact"/>
        <w:rPr>
          <w:sz w:val="20"/>
          <w:szCs w:val="20"/>
          <w:color w:val="auto"/>
        </w:rPr>
      </w:pPr>
    </w:p>
    <w:p>
      <w:pPr>
        <w:ind w:left="700" w:right="160" w:firstLine="393"/>
        <w:spacing w:after="0" w:line="284" w:lineRule="auto"/>
        <w:rPr>
          <w:sz w:val="20"/>
          <w:szCs w:val="20"/>
          <w:color w:val="auto"/>
        </w:rPr>
      </w:pPr>
      <w:r>
        <w:rPr>
          <w:rFonts w:ascii="Times New Roman" w:cs="Times New Roman" w:eastAsia="Times New Roman" w:hAnsi="Times New Roman"/>
          <w:sz w:val="16"/>
          <w:szCs w:val="16"/>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w:t>
      </w:r>
    </w:p>
    <w:p>
      <w:pPr>
        <w:spacing w:after="0" w:line="143"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Deferred income taxes are recognized for temporary differences between the tax bases of assets and liabilities and their reported amounts in the consolidated financial statements, net operating loss carry forwards and credits. Deferred tax assets are reduced by a valuation allowance when, in the opinion of management, it is more likely than not that some portion or all of the deferred tax assets will not be realized. Current income taxes are provided in accordance with the laws of the relevant taxing authorities. Deferred tax assets and liabilities are measured using enacted rates expected to apply to taxable income in which temporary differences are expected to be received or settled. The effect on deferred tax assets and liabilities of changes in tax rates is recognized in the consolidated statements of comprehensive income/(loss) in the year of the enactment of the change.</w:t>
      </w:r>
    </w:p>
    <w:p>
      <w:pPr>
        <w:spacing w:after="0" w:line="1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F-36</w:t>
      </w:r>
    </w:p>
    <w:p>
      <w:pPr>
        <w:sectPr>
          <w:pgSz w:w="11900" w:h="16838" w:orient="portrait"/>
          <w:cols w:equalWidth="0" w:num="1">
            <w:col w:w="10520"/>
          </w:cols>
          <w:pgMar w:left="320" w:top="447" w:right="10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right="5840" w:firstLine="7"/>
        <w:spacing w:after="0" w:line="402" w:lineRule="auto"/>
        <w:tabs>
          <w:tab w:leader="none" w:pos="861" w:val="left"/>
        </w:tabs>
        <w:numPr>
          <w:ilvl w:val="0"/>
          <w:numId w:val="1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 (ee) Taxation (Continued)</w:t>
      </w: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The Group considers positive and negative evidence when determining whether a portion or all of its deferred tax assets will more likely than not be realized. This assessment considers, among other matters, the nature, frequency and severity of current and cumulative losses, forecasts of future profitability, the duration of statutory carry-forward periods, its experience with unused accumulated tax loss, and its tax planning strategies.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Group has considered possible sources of taxable income including (i) future reversals of existing taxable temporary differences, (ii) future taxable income exclusive of reversing temporary differences and loss carry-forwards, (iii) future taxable income arising from implementing tax planning strategies, and (iv) specific known trend of profits expected to be reflected within the industry.</w:t>
      </w:r>
    </w:p>
    <w:p>
      <w:pPr>
        <w:spacing w:after="0" w:line="165" w:lineRule="exact"/>
        <w:rPr>
          <w:sz w:val="20"/>
          <w:szCs w:val="20"/>
          <w:color w:val="auto"/>
        </w:rPr>
      </w:pPr>
    </w:p>
    <w:p>
      <w:pPr>
        <w:ind w:left="700" w:right="240" w:firstLine="393"/>
        <w:spacing w:after="0" w:line="284" w:lineRule="auto"/>
        <w:rPr>
          <w:sz w:val="20"/>
          <w:szCs w:val="20"/>
          <w:color w:val="auto"/>
        </w:rPr>
      </w:pPr>
      <w:r>
        <w:rPr>
          <w:rFonts w:ascii="Times New Roman" w:cs="Times New Roman" w:eastAsia="Times New Roman" w:hAnsi="Times New Roman"/>
          <w:sz w:val="16"/>
          <w:szCs w:val="16"/>
          <w:color w:val="auto"/>
        </w:rPr>
        <w:t>For a particular tax-paying component of the Group and within a particular tax jurisdiction, all deferred tax liabilities and assets, as well as any related valuation allowance, are offset and presented as a single noncurrent amount.</w:t>
      </w:r>
    </w:p>
    <w:p>
      <w:pPr>
        <w:spacing w:after="0" w:line="143"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The Group recognizes a tax benefit associated with an uncertain tax position when, in its judgment, it is more likely than not that the position will be sustained upon examination by a taxing authority. For a tax position that meets the more-likely-than-not recognition threshold, the Group initially and subsequently measures the tax benefit as the largest amount that the Group judges to have a greater than 50% likelihood of being realized upon ultimate settlement with a taxing authority. The Group’s liability associated with unrecognized tax benefits is adjusted periodically due to changing circumstances, such as the progress of tax audits, case law developments and new or emerging legislation. Such adjustments are recognized entirely in the period in which they are identified. The Group’s effective tax rate includes the net impact of changes in the liability for unrecognized tax benefits and subsequent adjustments as considered appropriate by management. The Group classifies interest and penalties recognized on the liability for unrecognized tax benefits as income tax expense.</w:t>
      </w: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(ff) Net profit /(loss) per share</w:t>
      </w:r>
    </w:p>
    <w:p>
      <w:pPr>
        <w:spacing w:after="0" w:line="107" w:lineRule="exact"/>
        <w:rPr>
          <w:sz w:val="20"/>
          <w:szCs w:val="20"/>
          <w:color w:val="auto"/>
        </w:rPr>
      </w:pPr>
    </w:p>
    <w:p>
      <w:pPr>
        <w:ind w:left="700" w:right="60" w:firstLine="393"/>
        <w:spacing w:after="0" w:line="256" w:lineRule="auto"/>
        <w:rPr>
          <w:sz w:val="20"/>
          <w:szCs w:val="20"/>
          <w:color w:val="auto"/>
        </w:rPr>
      </w:pPr>
      <w:r>
        <w:rPr>
          <w:rFonts w:ascii="Times New Roman" w:cs="Times New Roman" w:eastAsia="Times New Roman" w:hAnsi="Times New Roman"/>
          <w:sz w:val="16"/>
          <w:szCs w:val="16"/>
          <w:color w:val="auto"/>
        </w:rPr>
        <w:t>Basic loss per share is computed by dividing net profit/(loss) attributable to common shareholders by the weighted average number of common shares outstanding during the year using the two-class method. Under the two-class method, net profit/(loss) is allocated between common shares and other participating securities based on their participating rights. Net profit/(loss) is not allocated to other participating securities if based on their contractual terms they are not obligated to share in the profit or loss. Diluted profit/(loss) per share is calculated by dividing net profit/(loss) attributable to common shareholders by the weighted average number of common and dilutive common equivalents shares outstanding during the year. Common equivalents shares consist of shares issuable upon the conversion of the redeemable preferred shares using the if-converted method, and shares issuable upon the exercise of share options using the treasury stock method. Common equivalents shares are not included in the denominator of the diluted profit/(loss) per share calculation when inclusion of such shares would be anti-dilutive.</w:t>
      </w: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(gg) Segment reporting</w:t>
      </w:r>
    </w:p>
    <w:p>
      <w:pPr>
        <w:spacing w:after="0" w:line="107" w:lineRule="exact"/>
        <w:rPr>
          <w:sz w:val="20"/>
          <w:szCs w:val="20"/>
          <w:color w:val="auto"/>
        </w:rPr>
      </w:pPr>
    </w:p>
    <w:p>
      <w:pPr>
        <w:ind w:left="700" w:right="300" w:firstLine="393"/>
        <w:spacing w:after="0" w:line="284" w:lineRule="auto"/>
        <w:rPr>
          <w:sz w:val="20"/>
          <w:szCs w:val="20"/>
          <w:color w:val="auto"/>
        </w:rPr>
      </w:pPr>
      <w:r>
        <w:rPr>
          <w:rFonts w:ascii="Times New Roman" w:cs="Times New Roman" w:eastAsia="Times New Roman" w:hAnsi="Times New Roman"/>
          <w:sz w:val="16"/>
          <w:szCs w:val="16"/>
          <w:color w:val="auto"/>
        </w:rPr>
        <w:t>Operating segments are reported in a manner consistent with the internal reporting provided to the chief operating decision-maker. The Group determines that their chief executive officer (“CEO”) is the chief operating decision-maker.</w:t>
      </w:r>
    </w:p>
    <w:p>
      <w:pPr>
        <w:spacing w:after="0" w:line="143" w:lineRule="exact"/>
        <w:rPr>
          <w:sz w:val="20"/>
          <w:szCs w:val="20"/>
          <w:color w:val="auto"/>
        </w:rPr>
      </w:pPr>
    </w:p>
    <w:p>
      <w:pPr>
        <w:ind w:left="700" w:right="80" w:firstLine="393"/>
        <w:spacing w:after="0" w:line="259" w:lineRule="auto"/>
        <w:rPr>
          <w:sz w:val="20"/>
          <w:szCs w:val="20"/>
          <w:color w:val="auto"/>
        </w:rPr>
      </w:pPr>
      <w:r>
        <w:rPr>
          <w:rFonts w:ascii="Times New Roman" w:cs="Times New Roman" w:eastAsia="Times New Roman" w:hAnsi="Times New Roman"/>
          <w:sz w:val="16"/>
          <w:szCs w:val="16"/>
          <w:color w:val="auto"/>
        </w:rPr>
        <w:t>The Group is principally engaged into insurance brokerage services, income of which accounted for over 90% of the total revenue. No geographical segment analysis is shown as more than 90% of the Group’s revenue are derived from activities in and from customers located in the PRC and more than 90% of the carrying values of the Group’s long-lived assets other than financial instruments are located in the PRC. During the years ended 31 December 2021 and 2022, the board of directors concluded that the Group has only one reportable segment – insurance brokerage services. The other segments are individually and collectively insignificant for segment reporting purpose. As such, no segment information is presented</w:t>
      </w:r>
    </w:p>
    <w:p>
      <w:pPr>
        <w:spacing w:after="0" w:line="1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F-37</w:t>
      </w:r>
    </w:p>
    <w:p>
      <w:pPr>
        <w:sectPr>
          <w:pgSz w:w="11900" w:h="16838" w:orient="portrait"/>
          <w:cols w:equalWidth="0" w:num="1">
            <w:col w:w="10520"/>
          </w:cols>
          <w:pgMar w:left="320" w:top="447" w:right="10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(Continued)</w:t>
      </w:r>
    </w:p>
    <w:p>
      <w:pPr>
        <w:spacing w:after="0" w:line="141" w:lineRule="exact"/>
        <w:rPr>
          <w:sz w:val="20"/>
          <w:szCs w:val="20"/>
          <w:color w:val="auto"/>
        </w:rPr>
      </w:pPr>
    </w:p>
    <w:p>
      <w:pPr>
        <w:ind w:left="1100" w:right="7220" w:hanging="393"/>
        <w:spacing w:after="0" w:line="378" w:lineRule="auto"/>
        <w:tabs>
          <w:tab w:leader="none" w:pos="1033" w:val="left"/>
        </w:tabs>
        <w:numPr>
          <w:ilvl w:val="0"/>
          <w:numId w:val="1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Significant risk and uncertainties </w:t>
      </w:r>
      <w:r>
        <w:rPr>
          <w:rFonts w:ascii="Times New Roman" w:cs="Times New Roman" w:eastAsia="Times New Roman" w:hAnsi="Times New Roman"/>
          <w:sz w:val="16"/>
          <w:szCs w:val="16"/>
          <w:i w:val="1"/>
          <w:iCs w:val="1"/>
          <w:color w:val="auto"/>
        </w:rPr>
        <w:t>Currency risk</w:t>
      </w:r>
    </w:p>
    <w:p>
      <w:pPr>
        <w:spacing w:after="0" w:line="1" w:lineRule="exact"/>
        <w:rPr>
          <w:sz w:val="20"/>
          <w:szCs w:val="20"/>
          <w:color w:val="auto"/>
        </w:rPr>
      </w:pPr>
    </w:p>
    <w:p>
      <w:pPr>
        <w:ind w:left="700" w:right="20" w:firstLine="393"/>
        <w:spacing w:after="0" w:line="259" w:lineRule="auto"/>
        <w:rPr>
          <w:sz w:val="20"/>
          <w:szCs w:val="20"/>
          <w:color w:val="auto"/>
        </w:rPr>
      </w:pPr>
      <w:r>
        <w:rPr>
          <w:rFonts w:ascii="Times New Roman" w:cs="Times New Roman" w:eastAsia="Times New Roman" w:hAnsi="Times New Roman"/>
          <w:sz w:val="16"/>
          <w:szCs w:val="16"/>
          <w:color w:val="auto"/>
        </w:rPr>
        <w:t>The RMB is not a freely convertible currency. The State Administration for Foreign Exchange, under the authority of the People’s Bank of China, controls the conversion of RMB into foreign currencies. The value of RMB is subject to changes in central government policies and international economic and political developments that affect supply and demand in the China Foreign Exchange Trading System market of cash and cash equivalents and restricted cash. The Group had aggregate amounts of RMB429,970, RMB481,589 and RMB261,891 of cash and cash equivalents and restricted cash denominated in RMB as of December 31, 2020, 2021 and December 31, 2022, respectively.</w:t>
      </w:r>
    </w:p>
    <w:p>
      <w:pPr>
        <w:spacing w:after="0" w:line="23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Concentration of Credit Risk</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Details of the customers accounting for 10% or more of total operating revenue are as follows:</w:t>
      </w:r>
    </w:p>
    <w:p>
      <w:pPr>
        <w:spacing w:after="0" w:line="198"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61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3"/>
                <w:szCs w:val="13"/>
                <w:color w:val="auto"/>
                <w:w w:val="98"/>
              </w:rPr>
              <w:t>Year Ended December 31</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05"/>
        </w:trPr>
        <w:tc>
          <w:tcPr>
            <w:tcW w:w="6160" w:type="dxa"/>
            <w:vAlign w:val="bottom"/>
          </w:tcPr>
          <w:p>
            <w:pPr>
              <w:spacing w:after="0"/>
              <w:rPr>
                <w:sz w:val="9"/>
                <w:szCs w:val="9"/>
                <w:color w:val="auto"/>
              </w:rPr>
            </w:pPr>
          </w:p>
        </w:tc>
        <w:tc>
          <w:tcPr>
            <w:tcW w:w="580" w:type="dxa"/>
            <w:vAlign w:val="bottom"/>
          </w:tcPr>
          <w:p>
            <w:pPr>
              <w:jc w:val="right"/>
              <w:ind w:right="85"/>
              <w:spacing w:after="0" w:line="105" w:lineRule="exact"/>
              <w:rPr>
                <w:sz w:val="20"/>
                <w:szCs w:val="20"/>
                <w:color w:val="auto"/>
              </w:rPr>
            </w:pPr>
            <w:r>
              <w:rPr>
                <w:rFonts w:ascii="Times New Roman" w:cs="Times New Roman" w:eastAsia="Times New Roman" w:hAnsi="Times New Roman"/>
                <w:sz w:val="12"/>
                <w:szCs w:val="12"/>
                <w:color w:val="auto"/>
              </w:rPr>
              <w:t>2020</w:t>
            </w:r>
          </w:p>
        </w:tc>
        <w:tc>
          <w:tcPr>
            <w:tcW w:w="140" w:type="dxa"/>
            <w:vAlign w:val="bottom"/>
          </w:tcPr>
          <w:p>
            <w:pPr>
              <w:spacing w:after="0"/>
              <w:rPr>
                <w:sz w:val="9"/>
                <w:szCs w:val="9"/>
                <w:color w:val="auto"/>
              </w:rPr>
            </w:pPr>
          </w:p>
        </w:tc>
        <w:tc>
          <w:tcPr>
            <w:tcW w:w="22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840" w:type="dxa"/>
            <w:vAlign w:val="bottom"/>
            <w:gridSpan w:val="2"/>
          </w:tcPr>
          <w:p>
            <w:pPr>
              <w:jc w:val="right"/>
              <w:ind w:right="156"/>
              <w:spacing w:after="0" w:line="105" w:lineRule="exact"/>
              <w:rPr>
                <w:sz w:val="20"/>
                <w:szCs w:val="20"/>
                <w:color w:val="auto"/>
              </w:rPr>
            </w:pPr>
            <w:r>
              <w:rPr>
                <w:rFonts w:ascii="Times New Roman" w:cs="Times New Roman" w:eastAsia="Times New Roman" w:hAnsi="Times New Roman"/>
                <w:sz w:val="12"/>
                <w:szCs w:val="12"/>
                <w:color w:val="auto"/>
              </w:rPr>
              <w:t>2021</w:t>
            </w:r>
          </w:p>
        </w:tc>
        <w:tc>
          <w:tcPr>
            <w:tcW w:w="140" w:type="dxa"/>
            <w:vAlign w:val="bottom"/>
          </w:tcPr>
          <w:p>
            <w:pPr>
              <w:spacing w:after="0"/>
              <w:rPr>
                <w:sz w:val="9"/>
                <w:szCs w:val="9"/>
                <w:color w:val="auto"/>
              </w:rPr>
            </w:pPr>
          </w:p>
        </w:tc>
        <w:tc>
          <w:tcPr>
            <w:tcW w:w="22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9"/>
                <w:szCs w:val="9"/>
                <w:color w:val="auto"/>
              </w:rPr>
            </w:pPr>
          </w:p>
        </w:tc>
        <w:tc>
          <w:tcPr>
            <w:tcW w:w="580" w:type="dxa"/>
            <w:vAlign w:val="bottom"/>
          </w:tcPr>
          <w:p>
            <w:pPr>
              <w:jc w:val="right"/>
              <w:ind w:right="85"/>
              <w:spacing w:after="0" w:line="105" w:lineRule="exact"/>
              <w:rPr>
                <w:sz w:val="20"/>
                <w:szCs w:val="20"/>
                <w:color w:val="auto"/>
              </w:rPr>
            </w:pPr>
            <w:r>
              <w:rPr>
                <w:rFonts w:ascii="Times New Roman" w:cs="Times New Roman" w:eastAsia="Times New Roman" w:hAnsi="Times New Roman"/>
                <w:sz w:val="12"/>
                <w:szCs w:val="12"/>
                <w:color w:val="auto"/>
              </w:rPr>
              <w:t>2022</w:t>
            </w:r>
          </w:p>
        </w:tc>
        <w:tc>
          <w:tcPr>
            <w:tcW w:w="140" w:type="dxa"/>
            <w:vAlign w:val="bottom"/>
          </w:tcPr>
          <w:p>
            <w:pPr>
              <w:spacing w:after="0"/>
              <w:rPr>
                <w:sz w:val="9"/>
                <w:szCs w:val="9"/>
                <w:color w:val="auto"/>
              </w:rPr>
            </w:pPr>
          </w:p>
        </w:tc>
        <w:tc>
          <w:tcPr>
            <w:tcW w:w="22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9"/>
                <w:szCs w:val="9"/>
                <w:color w:val="auto"/>
              </w:rPr>
            </w:pPr>
          </w:p>
        </w:tc>
      </w:tr>
      <w:tr>
        <w:trPr>
          <w:trHeight w:val="153"/>
        </w:trPr>
        <w:tc>
          <w:tcPr>
            <w:tcW w:w="616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RMB</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RMB</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RMB</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9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A</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32,347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715,287</w:t>
            </w:r>
          </w:p>
        </w:tc>
        <w:tc>
          <w:tcPr>
            <w:tcW w:w="1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309,781</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r>
      <w:tr>
        <w:trPr>
          <w:trHeight w:val="19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Customer K</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292,975</w:t>
            </w:r>
          </w:p>
        </w:tc>
        <w:tc>
          <w:tcPr>
            <w:tcW w:w="14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489,862</w:t>
            </w:r>
          </w:p>
        </w:tc>
        <w:tc>
          <w:tcPr>
            <w:tcW w:w="14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140,991</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r>
      <w:tr>
        <w:trPr>
          <w:trHeight w:val="19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152,296</w:t>
            </w:r>
          </w:p>
        </w:tc>
        <w:tc>
          <w:tcPr>
            <w:tcW w:w="1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191,059</w:t>
            </w:r>
          </w:p>
        </w:tc>
        <w:tc>
          <w:tcPr>
            <w:tcW w:w="1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44,546</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r>
      <w:tr>
        <w:trPr>
          <w:trHeight w:val="19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Customer I</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157,750</w:t>
            </w:r>
          </w:p>
        </w:tc>
        <w:tc>
          <w:tcPr>
            <w:tcW w:w="14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46,972</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19,552</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r>
      <w:tr>
        <w:trPr>
          <w:trHeight w:val="24"/>
        </w:trPr>
        <w:tc>
          <w:tcPr>
            <w:tcW w:w="6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193"/>
        </w:trPr>
        <w:tc>
          <w:tcPr>
            <w:tcW w:w="6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635,368</w:t>
            </w:r>
          </w:p>
        </w:tc>
        <w:tc>
          <w:tcPr>
            <w:tcW w:w="1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1,443,180</w:t>
            </w:r>
          </w:p>
        </w:tc>
        <w:tc>
          <w:tcPr>
            <w:tcW w:w="1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514,870</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r>
      <w:tr>
        <w:trPr>
          <w:trHeight w:val="20"/>
        </w:trPr>
        <w:tc>
          <w:tcPr>
            <w:tcW w:w="6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4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Details of the customers which accounted for 10% or more of accounts receivable are as follows:</w:t>
      </w:r>
    </w:p>
    <w:p>
      <w:pPr>
        <w:spacing w:after="0" w:line="186" w:lineRule="exact"/>
        <w:rPr>
          <w:sz w:val="20"/>
          <w:szCs w:val="20"/>
          <w:color w:val="auto"/>
        </w:rPr>
      </w:pPr>
    </w:p>
    <w:tbl>
      <w:tblPr>
        <w:tblLayout w:type="fixed"/>
        <w:tblInd w:w="1100" w:type="dxa"/>
        <w:tblCellMar>
          <w:top w:w="0" w:type="dxa"/>
          <w:left w:w="0" w:type="dxa"/>
          <w:bottom w:w="0" w:type="dxa"/>
          <w:right w:w="0" w:type="dxa"/>
        </w:tblCellMar>
      </w:tblPr>
      <w:tr>
        <w:trPr>
          <w:trHeight w:val="153"/>
        </w:trPr>
        <w:tc>
          <w:tcPr>
            <w:tcW w:w="63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3"/>
                <w:szCs w:val="13"/>
                <w:color w:val="auto"/>
              </w:rPr>
              <w:t>As of December, 31</w:t>
            </w:r>
          </w:p>
        </w:tc>
        <w:tc>
          <w:tcPr>
            <w:tcW w:w="2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05"/>
        </w:trPr>
        <w:tc>
          <w:tcPr>
            <w:tcW w:w="6320" w:type="dxa"/>
            <w:vAlign w:val="bottom"/>
          </w:tcPr>
          <w:p>
            <w:pPr>
              <w:spacing w:after="0"/>
              <w:rPr>
                <w:sz w:val="9"/>
                <w:szCs w:val="9"/>
                <w:color w:val="auto"/>
              </w:rPr>
            </w:pPr>
          </w:p>
        </w:tc>
        <w:tc>
          <w:tcPr>
            <w:tcW w:w="580" w:type="dxa"/>
            <w:vAlign w:val="bottom"/>
          </w:tcPr>
          <w:p>
            <w:pPr>
              <w:jc w:val="right"/>
              <w:ind w:right="85"/>
              <w:spacing w:after="0" w:line="105" w:lineRule="exact"/>
              <w:rPr>
                <w:sz w:val="20"/>
                <w:szCs w:val="20"/>
                <w:color w:val="auto"/>
              </w:rPr>
            </w:pPr>
            <w:r>
              <w:rPr>
                <w:rFonts w:ascii="Times New Roman" w:cs="Times New Roman" w:eastAsia="Times New Roman" w:hAnsi="Times New Roman"/>
                <w:sz w:val="12"/>
                <w:szCs w:val="12"/>
                <w:color w:val="auto"/>
              </w:rPr>
              <w:t>2021</w:t>
            </w:r>
          </w:p>
        </w:tc>
        <w:tc>
          <w:tcPr>
            <w:tcW w:w="80" w:type="dxa"/>
            <w:vAlign w:val="bottom"/>
          </w:tcPr>
          <w:p>
            <w:pPr>
              <w:spacing w:after="0"/>
              <w:rPr>
                <w:sz w:val="9"/>
                <w:szCs w:val="9"/>
                <w:color w:val="auto"/>
              </w:rPr>
            </w:pPr>
          </w:p>
        </w:tc>
        <w:tc>
          <w:tcPr>
            <w:tcW w:w="500" w:type="dxa"/>
            <w:vAlign w:val="bottom"/>
            <w:gridSpan w:val="2"/>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9"/>
                <w:szCs w:val="9"/>
                <w:color w:val="auto"/>
              </w:rPr>
            </w:pPr>
          </w:p>
        </w:tc>
        <w:tc>
          <w:tcPr>
            <w:tcW w:w="580" w:type="dxa"/>
            <w:vAlign w:val="bottom"/>
          </w:tcPr>
          <w:p>
            <w:pPr>
              <w:jc w:val="right"/>
              <w:ind w:right="85"/>
              <w:spacing w:after="0" w:line="105" w:lineRule="exact"/>
              <w:rPr>
                <w:sz w:val="20"/>
                <w:szCs w:val="20"/>
                <w:color w:val="auto"/>
              </w:rPr>
            </w:pPr>
            <w:r>
              <w:rPr>
                <w:rFonts w:ascii="Times New Roman" w:cs="Times New Roman" w:eastAsia="Times New Roman" w:hAnsi="Times New Roman"/>
                <w:sz w:val="12"/>
                <w:szCs w:val="12"/>
                <w:color w:val="auto"/>
              </w:rPr>
              <w:t>2022</w:t>
            </w:r>
          </w:p>
        </w:tc>
        <w:tc>
          <w:tcPr>
            <w:tcW w:w="220" w:type="dxa"/>
            <w:vAlign w:val="bottom"/>
          </w:tcPr>
          <w:p>
            <w:pPr>
              <w:spacing w:after="0"/>
              <w:rPr>
                <w:sz w:val="9"/>
                <w:szCs w:val="9"/>
                <w:color w:val="auto"/>
              </w:rPr>
            </w:pPr>
          </w:p>
        </w:tc>
        <w:tc>
          <w:tcPr>
            <w:tcW w:w="22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9"/>
                <w:szCs w:val="9"/>
                <w:color w:val="auto"/>
              </w:rPr>
            </w:pPr>
          </w:p>
        </w:tc>
      </w:tr>
      <w:tr>
        <w:trPr>
          <w:trHeight w:val="153"/>
        </w:trPr>
        <w:tc>
          <w:tcPr>
            <w:tcW w:w="6320" w:type="dxa"/>
            <w:vAlign w:val="bottom"/>
          </w:tcPr>
          <w:p>
            <w:pPr>
              <w:spacing w:after="0"/>
              <w:rPr>
                <w:sz w:val="13"/>
                <w:szCs w:val="13"/>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RMB</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RMB</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9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K</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32,702</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47,941</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r>
      <w:tr>
        <w:trPr>
          <w:trHeight w:val="19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Customer M</w:t>
            </w: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37,531</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r>
      <w:tr>
        <w:trPr>
          <w:trHeight w:val="19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A</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464,289</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32,456</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r>
      <w:tr>
        <w:trPr>
          <w:trHeight w:val="19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Customer H</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165,688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19,404</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r>
      <w:tr>
        <w:trPr>
          <w:trHeight w:val="24"/>
        </w:trPr>
        <w:tc>
          <w:tcPr>
            <w:tcW w:w="6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193"/>
        </w:trPr>
        <w:tc>
          <w:tcPr>
            <w:tcW w:w="63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662,679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85%</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137,332</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w:t>
            </w:r>
          </w:p>
        </w:tc>
      </w:tr>
      <w:tr>
        <w:trPr>
          <w:trHeight w:val="20"/>
        </w:trPr>
        <w:tc>
          <w:tcPr>
            <w:tcW w:w="6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4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Group performs ongoing credit evaluations of its customers and generally does not require collateral on accounts receivable.</w:t>
      </w:r>
    </w:p>
    <w:p>
      <w:pPr>
        <w:spacing w:after="0" w:line="15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Details of the banks which accounted for 10% or more of cash and cash equivalents and restricted cash are as follows:</w:t>
      </w:r>
    </w:p>
    <w:p>
      <w:pPr>
        <w:spacing w:after="0" w:line="186" w:lineRule="exact"/>
        <w:rPr>
          <w:sz w:val="20"/>
          <w:szCs w:val="20"/>
          <w:color w:val="auto"/>
        </w:rPr>
      </w:pPr>
    </w:p>
    <w:tbl>
      <w:tblPr>
        <w:tblLayout w:type="fixed"/>
        <w:tblInd w:w="1100" w:type="dxa"/>
        <w:tblCellMar>
          <w:top w:w="0" w:type="dxa"/>
          <w:left w:w="0" w:type="dxa"/>
          <w:bottom w:w="0" w:type="dxa"/>
          <w:right w:w="0" w:type="dxa"/>
        </w:tblCellMar>
      </w:tblPr>
      <w:tr>
        <w:trPr>
          <w:trHeight w:val="153"/>
        </w:trPr>
        <w:tc>
          <w:tcPr>
            <w:tcW w:w="64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color w:val="auto"/>
              </w:rPr>
              <w:t>As of December, 31</w:t>
            </w:r>
          </w:p>
        </w:tc>
        <w:tc>
          <w:tcPr>
            <w:tcW w:w="2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05"/>
        </w:trPr>
        <w:tc>
          <w:tcPr>
            <w:tcW w:w="6400" w:type="dxa"/>
            <w:vAlign w:val="bottom"/>
          </w:tcPr>
          <w:p>
            <w:pPr>
              <w:spacing w:after="0"/>
              <w:rPr>
                <w:sz w:val="9"/>
                <w:szCs w:val="9"/>
                <w:color w:val="auto"/>
              </w:rPr>
            </w:pPr>
          </w:p>
        </w:tc>
        <w:tc>
          <w:tcPr>
            <w:tcW w:w="580" w:type="dxa"/>
            <w:vAlign w:val="bottom"/>
          </w:tcPr>
          <w:p>
            <w:pPr>
              <w:jc w:val="right"/>
              <w:ind w:right="105"/>
              <w:spacing w:after="0" w:line="105" w:lineRule="exact"/>
              <w:rPr>
                <w:sz w:val="20"/>
                <w:szCs w:val="20"/>
                <w:color w:val="auto"/>
              </w:rPr>
            </w:pPr>
            <w:r>
              <w:rPr>
                <w:rFonts w:ascii="Times New Roman" w:cs="Times New Roman" w:eastAsia="Times New Roman" w:hAnsi="Times New Roman"/>
                <w:sz w:val="12"/>
                <w:szCs w:val="12"/>
                <w:color w:val="auto"/>
              </w:rPr>
              <w:t>2021</w:t>
            </w:r>
          </w:p>
        </w:tc>
        <w:tc>
          <w:tcPr>
            <w:tcW w:w="60" w:type="dxa"/>
            <w:vAlign w:val="bottom"/>
          </w:tcPr>
          <w:p>
            <w:pPr>
              <w:spacing w:after="0"/>
              <w:rPr>
                <w:sz w:val="9"/>
                <w:szCs w:val="9"/>
                <w:color w:val="auto"/>
              </w:rPr>
            </w:pPr>
          </w:p>
        </w:tc>
        <w:tc>
          <w:tcPr>
            <w:tcW w:w="440" w:type="dxa"/>
            <w:vAlign w:val="bottom"/>
            <w:gridSpan w:val="2"/>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9"/>
                <w:szCs w:val="9"/>
                <w:color w:val="auto"/>
              </w:rPr>
            </w:pPr>
          </w:p>
        </w:tc>
        <w:tc>
          <w:tcPr>
            <w:tcW w:w="580" w:type="dxa"/>
            <w:vAlign w:val="bottom"/>
          </w:tcPr>
          <w:p>
            <w:pPr>
              <w:jc w:val="right"/>
              <w:ind w:right="85"/>
              <w:spacing w:after="0" w:line="105" w:lineRule="exact"/>
              <w:rPr>
                <w:sz w:val="20"/>
                <w:szCs w:val="20"/>
                <w:color w:val="auto"/>
              </w:rPr>
            </w:pPr>
            <w:r>
              <w:rPr>
                <w:rFonts w:ascii="Times New Roman" w:cs="Times New Roman" w:eastAsia="Times New Roman" w:hAnsi="Times New Roman"/>
                <w:sz w:val="12"/>
                <w:szCs w:val="12"/>
                <w:color w:val="auto"/>
              </w:rPr>
              <w:t>2022</w:t>
            </w:r>
          </w:p>
        </w:tc>
        <w:tc>
          <w:tcPr>
            <w:tcW w:w="220" w:type="dxa"/>
            <w:vAlign w:val="bottom"/>
          </w:tcPr>
          <w:p>
            <w:pPr>
              <w:spacing w:after="0"/>
              <w:rPr>
                <w:sz w:val="9"/>
                <w:szCs w:val="9"/>
                <w:color w:val="auto"/>
              </w:rPr>
            </w:pPr>
          </w:p>
        </w:tc>
        <w:tc>
          <w:tcPr>
            <w:tcW w:w="22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9"/>
                <w:szCs w:val="9"/>
                <w:color w:val="auto"/>
              </w:rPr>
            </w:pPr>
          </w:p>
        </w:tc>
      </w:tr>
      <w:tr>
        <w:trPr>
          <w:trHeight w:val="153"/>
        </w:trPr>
        <w:tc>
          <w:tcPr>
            <w:tcW w:w="6400" w:type="dxa"/>
            <w:vAlign w:val="bottom"/>
          </w:tcPr>
          <w:p>
            <w:pPr>
              <w:spacing w:after="0"/>
              <w:rPr>
                <w:sz w:val="13"/>
                <w:szCs w:val="13"/>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RMB</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RMB</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9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A</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294,418</w:t>
            </w: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154,381</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41%</w:t>
            </w:r>
          </w:p>
        </w:tc>
      </w:tr>
      <w:tr>
        <w:trPr>
          <w:trHeight w:val="193"/>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Bank B</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144,317</w:t>
            </w: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24%</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73,255</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19%</w:t>
            </w:r>
          </w:p>
        </w:tc>
      </w:tr>
      <w:tr>
        <w:trPr>
          <w:trHeight w:val="19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C</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46,534</w:t>
            </w: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67,444</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18%</w:t>
            </w:r>
          </w:p>
        </w:tc>
      </w:tr>
      <w:tr>
        <w:trPr>
          <w:trHeight w:val="193"/>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Bank D</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40,917</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11%</w:t>
            </w:r>
          </w:p>
        </w:tc>
      </w:tr>
      <w:tr>
        <w:trPr>
          <w:trHeight w:val="24"/>
        </w:trPr>
        <w:tc>
          <w:tcPr>
            <w:tcW w:w="6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193"/>
        </w:trPr>
        <w:tc>
          <w:tcPr>
            <w:tcW w:w="64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485,330</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335,997</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89%</w:t>
            </w:r>
          </w:p>
        </w:tc>
      </w:tr>
      <w:tr>
        <w:trPr>
          <w:trHeight w:val="20"/>
        </w:trPr>
        <w:tc>
          <w:tcPr>
            <w:tcW w:w="6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40" w:lineRule="exact"/>
        <w:rPr>
          <w:sz w:val="20"/>
          <w:szCs w:val="20"/>
          <w:color w:val="auto"/>
        </w:rPr>
      </w:pPr>
    </w:p>
    <w:p>
      <w:pPr>
        <w:ind w:left="700" w:right="40" w:firstLine="393"/>
        <w:spacing w:after="0" w:line="256" w:lineRule="auto"/>
        <w:rPr>
          <w:sz w:val="20"/>
          <w:szCs w:val="20"/>
          <w:color w:val="auto"/>
        </w:rPr>
      </w:pPr>
      <w:r>
        <w:rPr>
          <w:rFonts w:ascii="Times New Roman" w:cs="Times New Roman" w:eastAsia="Times New Roman" w:hAnsi="Times New Roman"/>
          <w:sz w:val="16"/>
          <w:szCs w:val="16"/>
          <w:color w:val="auto"/>
        </w:rPr>
        <w:t>The Group places its cash and cash equivalents and restricted cash in financial institutions located in the PRC which the management believes are of high credit quality. On May 1, 2015, China’s new Deposit Insurance Regulation came into effect, pursuant to which banking financial institutions, such as commercial banks, established in China are required to purchase deposit insurance for deposits in RMB and in foreign currency placed with them. Such Deposit Insurance Regulation would not be effective in providing complete protection for the Group’s accounts, as its aggregate deposits are much higher than the compensation limit. However, the Group believes that the risk of failure of any of these Chinese banks is remote. Bank failure is uncommon in China and the Group believes that those Chinese banks that hold the Group’s cash and cash equivalents and restricted cash are financially sound based on public available information.</w:t>
      </w:r>
    </w:p>
    <w:p>
      <w:pPr>
        <w:spacing w:after="0" w:line="2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Interest rate risk</w:t>
      </w:r>
    </w:p>
    <w:p>
      <w:pPr>
        <w:spacing w:after="0" w:line="107" w:lineRule="exact"/>
        <w:rPr>
          <w:sz w:val="20"/>
          <w:szCs w:val="20"/>
          <w:color w:val="auto"/>
        </w:rPr>
      </w:pPr>
    </w:p>
    <w:p>
      <w:pPr>
        <w:ind w:left="700" w:right="340" w:firstLine="393"/>
        <w:spacing w:after="0" w:line="284" w:lineRule="auto"/>
        <w:rPr>
          <w:sz w:val="20"/>
          <w:szCs w:val="20"/>
          <w:color w:val="auto"/>
        </w:rPr>
      </w:pPr>
      <w:r>
        <w:rPr>
          <w:rFonts w:ascii="Times New Roman" w:cs="Times New Roman" w:eastAsia="Times New Roman" w:hAnsi="Times New Roman"/>
          <w:sz w:val="16"/>
          <w:szCs w:val="16"/>
          <w:color w:val="auto"/>
        </w:rPr>
        <w:t>Fluctuations in market interest rates may negatively affect the Group’s financial condition and results of operations. The Group have not been exposed to material risks due to changes in market interest rates as the borrowings held by the Group all bear interest at a fixed interest rate.</w:t>
      </w:r>
    </w:p>
    <w:p>
      <w:pPr>
        <w:spacing w:after="0" w:line="8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F-38</w:t>
      </w:r>
    </w:p>
    <w:p>
      <w:pPr>
        <w:sectPr>
          <w:pgSz w:w="11900" w:h="16838" w:orient="portrait"/>
          <w:cols w:equalWidth="0" w:num="1">
            <w:col w:w="10540"/>
          </w:cols>
          <w:pgMar w:left="320" w:top="447" w:right="10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(Continued)</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(ii) Recent accounting pronouncements</w:t>
      </w:r>
    </w:p>
    <w:p>
      <w:pPr>
        <w:spacing w:after="0" w:line="107" w:lineRule="exact"/>
        <w:rPr>
          <w:sz w:val="20"/>
          <w:szCs w:val="20"/>
          <w:color w:val="auto"/>
        </w:rPr>
      </w:pPr>
    </w:p>
    <w:p>
      <w:pPr>
        <w:ind w:left="700" w:right="20" w:firstLine="393"/>
        <w:spacing w:after="0" w:line="253" w:lineRule="auto"/>
        <w:rPr>
          <w:sz w:val="20"/>
          <w:szCs w:val="20"/>
          <w:color w:val="auto"/>
        </w:rPr>
      </w:pPr>
      <w:r>
        <w:rPr>
          <w:rFonts w:ascii="Times New Roman" w:cs="Times New Roman" w:eastAsia="Times New Roman" w:hAnsi="Times New Roman"/>
          <w:sz w:val="16"/>
          <w:szCs w:val="16"/>
          <w:color w:val="auto"/>
        </w:rPr>
        <w:t>In June 2016, the FASB issued ASU 2016-13, “Financial Instruments – Credit Losses (Topic 326)”: Measurement of Credit Losses on Financial Instruments, which is intended to improve financial reporting by requiring timelier recording of credit losses on loans and other financial instruments held by financial institutions and other organizations. The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 For public business entities that are U.S. SEC filers, the ASU is effective for fiscal years, and interim periods within those fiscal years, beginning after December 15, 2019. For all other entities, the amendments are effective for fiscal years beginning after December 15, 2022, and interim periods within fiscal years beginning after December 15, 2022. This guidance is effective for the Group beginning on January 1, 2023 and the Group reports the change in this accounting principle through modified retrospective application. The cumulative impact of the adjustments on retained earnings as of January 1, 2023 did not have a material impact on the Group’s consolidated financial statements.</w:t>
      </w:r>
    </w:p>
    <w:p>
      <w:pPr>
        <w:spacing w:after="0" w:line="17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In December 2019, the FASB issued ASU 2019-12, ‘‘Income Taxes (Topic 740)’’. This standard simplifies the Accounting for Income</w:t>
      </w:r>
    </w:p>
    <w:p>
      <w:pPr>
        <w:spacing w:after="0" w:line="25" w:lineRule="exact"/>
        <w:rPr>
          <w:sz w:val="20"/>
          <w:szCs w:val="20"/>
          <w:color w:val="auto"/>
        </w:rPr>
      </w:pPr>
    </w:p>
    <w:p>
      <w:pPr>
        <w:ind w:left="700"/>
        <w:spacing w:after="0" w:line="254" w:lineRule="auto"/>
        <w:rPr>
          <w:sz w:val="20"/>
          <w:szCs w:val="20"/>
          <w:color w:val="auto"/>
        </w:rPr>
      </w:pPr>
      <w:r>
        <w:rPr>
          <w:rFonts w:ascii="Times New Roman" w:cs="Times New Roman" w:eastAsia="Times New Roman" w:hAnsi="Times New Roman"/>
          <w:sz w:val="16"/>
          <w:szCs w:val="16"/>
          <w:color w:val="auto"/>
        </w:rPr>
        <w:t>Taxes, removes certain exceptions for recognizing deferred taxes for investments, performing intra period tax allocations and calculating income taxes in interim periods. The ASU also adds guidance to reduce complexity in certain areas, including recognizing deferred taxes for tax goodwill and allocating income taxes to members of a consolidated group. ASU 2019-12 is effective for annual periods beginning on January 1, 2021, with earlier adoption permitted. The Group has adopted the ASU on January 1, 2021. The adoption of ASU 2019-12 did not have a material impact on the Group’s consolidated financial statements.</w:t>
      </w:r>
    </w:p>
    <w:p>
      <w:pPr>
        <w:spacing w:after="0" w:line="167" w:lineRule="exact"/>
        <w:rPr>
          <w:sz w:val="20"/>
          <w:szCs w:val="20"/>
          <w:color w:val="auto"/>
        </w:rPr>
      </w:pPr>
    </w:p>
    <w:p>
      <w:pPr>
        <w:ind w:left="700" w:right="40" w:firstLine="393"/>
        <w:spacing w:after="0" w:line="259" w:lineRule="auto"/>
        <w:rPr>
          <w:sz w:val="20"/>
          <w:szCs w:val="20"/>
          <w:color w:val="auto"/>
        </w:rPr>
      </w:pPr>
      <w:r>
        <w:rPr>
          <w:rFonts w:ascii="Times New Roman" w:cs="Times New Roman" w:eastAsia="Times New Roman" w:hAnsi="Times New Roman"/>
          <w:sz w:val="16"/>
          <w:szCs w:val="16"/>
          <w:color w:val="auto"/>
        </w:rPr>
        <w:t>In January 2020, the FASB issued ASU 2020-1, ‘‘investments—equity securities (Topic 321)’’. The amendments in this update clarify the interaction of the accounting for equity securities under Topic 321 and investments under the equity method of accounting in Topic 323 and the accounting for certain forward contracts and purchased options accounted for under Topic 815. ASU 2020-01 is effective for fiscal years beginning after December 15, 2021, and interim periods within those fiscal years, with earlier adoption permitted. The Group intends to adopt the ASU on the effective date of January 1, 2022 and the impact of adopting this standard did not have a material impact on the Group’s consolidated financial statements.</w:t>
      </w:r>
    </w:p>
    <w:p>
      <w:pPr>
        <w:spacing w:after="0" w:line="1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F-39</w:t>
      </w:r>
    </w:p>
    <w:p>
      <w:pPr>
        <w:sectPr>
          <w:pgSz w:w="11900" w:h="16838" w:orient="portrait"/>
          <w:cols w:equalWidth="0" w:num="1">
            <w:col w:w="10540"/>
          </w:cols>
          <w:pgMar w:left="320" w:top="447" w:right="10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right="5860" w:firstLine="7"/>
        <w:spacing w:after="0" w:line="402" w:lineRule="auto"/>
        <w:tabs>
          <w:tab w:leader="none" w:pos="861" w:val="left"/>
        </w:tabs>
        <w:numPr>
          <w:ilvl w:val="0"/>
          <w:numId w:val="1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 (ii) Recent Accounting Pronouncements (Continued)</w:t>
      </w:r>
    </w:p>
    <w:p>
      <w:pPr>
        <w:ind w:left="700" w:firstLine="393"/>
        <w:spacing w:after="0" w:line="254" w:lineRule="auto"/>
        <w:rPr>
          <w:sz w:val="20"/>
          <w:szCs w:val="20"/>
          <w:color w:val="auto"/>
        </w:rPr>
      </w:pPr>
      <w:r>
        <w:rPr>
          <w:rFonts w:ascii="Times New Roman" w:cs="Times New Roman" w:eastAsia="Times New Roman" w:hAnsi="Times New Roman"/>
          <w:sz w:val="16"/>
          <w:szCs w:val="16"/>
          <w:color w:val="auto"/>
        </w:rPr>
        <w:t>In August 2020, the FASB issued ASU 2020-06, “Debt — Debt with Conversion and Other Options (Subtopic 470-20) and Derivatives and Hedging — Contracts in Entity’s Own Equity (Subtopic 815-40)”. The amendments in this update affect entities that issue convertible instruments and/or contracts indexed to and potentially settled in an entity’s own equity. The new ASU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EPS computation. The amendments in the ASU are effective for public business entities that meet the definition of an SEC filer, excluding entities eligible to be smaller reporting companies as defined by the SEC, for fiscal years beginning after December 15, 2021, including interim periods within those fiscal years. Early adoption is permitted, but no earlier than fiscal years beginning after December 15, 2020, including interim periods within those fiscal years. The standard is effective for EGCs for fiscal year beginning after December 15, 2023. The FASB also specified that an entity should adopt the guidance as of the beginning of its annual fiscal year and is not permitted to adopt the guidance in an interim period. The Group is currently evaluating the impact of this accounting standard update on its consolidated financial statements.</w:t>
      </w:r>
    </w:p>
    <w:p>
      <w:pPr>
        <w:spacing w:after="0" w:line="172" w:lineRule="exact"/>
        <w:rPr>
          <w:sz w:val="20"/>
          <w:szCs w:val="20"/>
          <w:color w:val="auto"/>
        </w:rPr>
      </w:pPr>
    </w:p>
    <w:p>
      <w:pPr>
        <w:ind w:left="700" w:right="60" w:firstLine="393"/>
        <w:spacing w:after="0" w:line="255" w:lineRule="auto"/>
        <w:rPr>
          <w:sz w:val="20"/>
          <w:szCs w:val="20"/>
          <w:color w:val="auto"/>
        </w:rPr>
      </w:pPr>
      <w:r>
        <w:rPr>
          <w:rFonts w:ascii="Times New Roman" w:cs="Times New Roman" w:eastAsia="Times New Roman" w:hAnsi="Times New Roman"/>
          <w:sz w:val="16"/>
          <w:szCs w:val="16"/>
          <w:color w:val="auto"/>
        </w:rPr>
        <w:t>In June 2022, the FASB issued ASU 2022-03, “Fair Value Measurement (Topic 820)—Fair Value Measurement of Equity Securities Subject to Contractual Sale Restrictions”, which clarifies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This guidance also requires certain disclosures for equity securities subject to contractual sale restrictions. The new guidance is required to be applied prospectively with any adjustments from the adoption of the amendments recognized in earnings and disclosed on the date of adoption. For public business entities, the amendments in this Update are effective for fiscal years beginning after December 15, 2023, and interim periods within those fiscal years. For all other entities, the amendments are effective for fiscal years beginning after December 15, 2024, and interim periods within those fiscal years. Early adoption is permitted for both interim and annual financial statements that have not yet been issued or made available for issuance. The Group is currently evaluating the impact of this accounting standard update on its consolidated financial statements.</w:t>
      </w: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3. Fair Value measurement</w:t>
      </w:r>
    </w:p>
    <w:p>
      <w:pPr>
        <w:spacing w:after="0" w:line="107" w:lineRule="exact"/>
        <w:rPr>
          <w:sz w:val="20"/>
          <w:szCs w:val="20"/>
          <w:color w:val="auto"/>
        </w:rPr>
      </w:pPr>
    </w:p>
    <w:p>
      <w:pPr>
        <w:ind w:left="700" w:right="20" w:firstLine="393"/>
        <w:spacing w:after="0" w:line="267" w:lineRule="auto"/>
        <w:rPr>
          <w:sz w:val="20"/>
          <w:szCs w:val="20"/>
          <w:color w:val="auto"/>
        </w:rPr>
      </w:pPr>
      <w:r>
        <w:rPr>
          <w:rFonts w:ascii="Times New Roman" w:cs="Times New Roman" w:eastAsia="Times New Roman" w:hAnsi="Times New Roman"/>
          <w:sz w:val="16"/>
          <w:szCs w:val="16"/>
          <w:color w:val="auto"/>
        </w:rPr>
        <w:t>The following tables set forth, by level within the fair value hierarchy, financial assets measured at fair value as of December 31, 2021 and 2022. As required by ASC Topic 820, financial assets and financial liabilities are classified in their entirety based on the lowest level of input that is significant to the respective fair value measurement.</w:t>
      </w:r>
    </w:p>
    <w:p>
      <w:pPr>
        <w:spacing w:after="0" w:line="178" w:lineRule="exact"/>
        <w:rPr>
          <w:sz w:val="20"/>
          <w:szCs w:val="20"/>
          <w:color w:val="auto"/>
        </w:rPr>
      </w:pPr>
    </w:p>
    <w:tbl>
      <w:tblPr>
        <w:tblLayout w:type="fixed"/>
        <w:tblInd w:w="1100" w:type="dxa"/>
        <w:tblCellMar>
          <w:top w:w="0" w:type="dxa"/>
          <w:left w:w="0" w:type="dxa"/>
          <w:bottom w:w="0" w:type="dxa"/>
          <w:right w:w="0" w:type="dxa"/>
        </w:tblCellMar>
      </w:tblPr>
      <w:tr>
        <w:trPr>
          <w:trHeight w:val="153"/>
        </w:trPr>
        <w:tc>
          <w:tcPr>
            <w:tcW w:w="42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color w:val="auto"/>
              </w:rPr>
              <w:t>As of December 31, 2021</w:t>
            </w:r>
          </w:p>
        </w:tc>
        <w:tc>
          <w:tcPr>
            <w:tcW w:w="3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5"/>
        </w:trPr>
        <w:tc>
          <w:tcPr>
            <w:tcW w:w="42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44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3"/>
                <w:szCs w:val="13"/>
                <w:color w:val="auto"/>
                <w:w w:val="96"/>
              </w:rPr>
              <w:t>Level 1</w:t>
            </w:r>
          </w:p>
        </w:tc>
        <w:tc>
          <w:tcPr>
            <w:tcW w:w="260" w:type="dxa"/>
            <w:vAlign w:val="bottom"/>
          </w:tcPr>
          <w:p>
            <w:pPr>
              <w:spacing w:after="0"/>
              <w:rPr>
                <w:sz w:val="10"/>
                <w:szCs w:val="10"/>
                <w:color w:val="auto"/>
              </w:rPr>
            </w:pPr>
          </w:p>
        </w:tc>
        <w:tc>
          <w:tcPr>
            <w:tcW w:w="400" w:type="dxa"/>
            <w:vAlign w:val="bottom"/>
          </w:tcPr>
          <w:p>
            <w:pPr>
              <w:jc w:val="center"/>
              <w:spacing w:after="0" w:line="125" w:lineRule="exact"/>
              <w:rPr>
                <w:sz w:val="20"/>
                <w:szCs w:val="20"/>
                <w:color w:val="auto"/>
              </w:rPr>
            </w:pPr>
            <w:r>
              <w:rPr>
                <w:rFonts w:ascii="Times New Roman" w:cs="Times New Roman" w:eastAsia="Times New Roman" w:hAnsi="Times New Roman"/>
                <w:sz w:val="13"/>
                <w:szCs w:val="13"/>
                <w:color w:val="auto"/>
              </w:rPr>
              <w:t>Level 2</w:t>
            </w:r>
          </w:p>
        </w:tc>
        <w:tc>
          <w:tcPr>
            <w:tcW w:w="300" w:type="dxa"/>
            <w:vAlign w:val="bottom"/>
          </w:tcPr>
          <w:p>
            <w:pPr>
              <w:spacing w:after="0"/>
              <w:rPr>
                <w:sz w:val="10"/>
                <w:szCs w:val="10"/>
                <w:color w:val="auto"/>
              </w:rPr>
            </w:pPr>
          </w:p>
        </w:tc>
        <w:tc>
          <w:tcPr>
            <w:tcW w:w="62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3"/>
                <w:szCs w:val="13"/>
                <w:color w:val="auto"/>
              </w:rPr>
              <w:t>Level 3</w:t>
            </w:r>
          </w:p>
        </w:tc>
        <w:tc>
          <w:tcPr>
            <w:tcW w:w="300" w:type="dxa"/>
            <w:vAlign w:val="bottom"/>
          </w:tcPr>
          <w:p>
            <w:pPr>
              <w:jc w:val="right"/>
              <w:spacing w:after="0" w:line="125" w:lineRule="exact"/>
              <w:rPr>
                <w:sz w:val="20"/>
                <w:szCs w:val="20"/>
                <w:color w:val="auto"/>
              </w:rPr>
            </w:pPr>
            <w:r>
              <w:rPr>
                <w:rFonts w:ascii="Times New Roman" w:cs="Times New Roman" w:eastAsia="Times New Roman" w:hAnsi="Times New Roman"/>
                <w:sz w:val="13"/>
                <w:szCs w:val="13"/>
                <w:color w:val="auto"/>
                <w:w w:val="94"/>
              </w:rPr>
              <w:t>Total</w:t>
            </w:r>
          </w:p>
        </w:tc>
        <w:tc>
          <w:tcPr>
            <w:tcW w:w="40" w:type="dxa"/>
            <w:vAlign w:val="bottom"/>
          </w:tcPr>
          <w:p>
            <w:pPr>
              <w:spacing w:after="0"/>
              <w:rPr>
                <w:sz w:val="10"/>
                <w:szCs w:val="10"/>
                <w:color w:val="auto"/>
              </w:rPr>
            </w:pPr>
          </w:p>
        </w:tc>
      </w:tr>
      <w:tr>
        <w:trPr>
          <w:trHeight w:val="125"/>
        </w:trPr>
        <w:tc>
          <w:tcPr>
            <w:tcW w:w="42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4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300" w:type="dxa"/>
            <w:vAlign w:val="bottom"/>
          </w:tcPr>
          <w:p>
            <w:pPr>
              <w:spacing w:after="0"/>
              <w:rPr>
                <w:sz w:val="10"/>
                <w:szCs w:val="10"/>
                <w:color w:val="auto"/>
              </w:rPr>
            </w:pPr>
          </w:p>
        </w:tc>
        <w:tc>
          <w:tcPr>
            <w:tcW w:w="4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220" w:type="dxa"/>
            <w:vAlign w:val="bottom"/>
          </w:tcPr>
          <w:p>
            <w:pPr>
              <w:spacing w:after="0"/>
              <w:rPr>
                <w:sz w:val="10"/>
                <w:szCs w:val="10"/>
                <w:color w:val="auto"/>
              </w:rPr>
            </w:pPr>
          </w:p>
        </w:tc>
        <w:tc>
          <w:tcPr>
            <w:tcW w:w="3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40" w:type="dxa"/>
            <w:vAlign w:val="bottom"/>
          </w:tcPr>
          <w:p>
            <w:pPr>
              <w:spacing w:after="0"/>
              <w:rPr>
                <w:sz w:val="10"/>
                <w:szCs w:val="10"/>
                <w:color w:val="auto"/>
              </w:rPr>
            </w:pPr>
          </w:p>
        </w:tc>
      </w:tr>
      <w:tr>
        <w:trPr>
          <w:trHeight w:val="193"/>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accounted for at fair value Listed equity securities</w:t>
            </w:r>
          </w:p>
        </w:tc>
        <w:tc>
          <w:tcPr>
            <w:tcW w:w="24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40" w:type="dxa"/>
            <w:vAlign w:val="bottom"/>
            <w:shd w:val="clear" w:color="auto" w:fill="CCEEFF"/>
          </w:tcPr>
          <w:p>
            <w:pPr>
              <w:spacing w:after="0"/>
              <w:rPr>
                <w:sz w:val="16"/>
                <w:szCs w:val="16"/>
                <w:color w:val="auto"/>
              </w:rPr>
            </w:pPr>
          </w:p>
        </w:tc>
      </w:tr>
      <w:tr>
        <w:trPr>
          <w:trHeight w:val="20"/>
        </w:trPr>
        <w:tc>
          <w:tcPr>
            <w:tcW w:w="4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8"/>
        </w:trPr>
        <w:tc>
          <w:tcPr>
            <w:tcW w:w="4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color w:val="auto"/>
              </w:rPr>
              <w:t>As of December 31, 2022</w:t>
            </w:r>
          </w:p>
        </w:tc>
        <w:tc>
          <w:tcPr>
            <w:tcW w:w="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25"/>
        </w:trPr>
        <w:tc>
          <w:tcPr>
            <w:tcW w:w="42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44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3"/>
                <w:szCs w:val="13"/>
                <w:color w:val="auto"/>
                <w:w w:val="96"/>
              </w:rPr>
              <w:t>Level 1</w:t>
            </w:r>
          </w:p>
        </w:tc>
        <w:tc>
          <w:tcPr>
            <w:tcW w:w="260" w:type="dxa"/>
            <w:vAlign w:val="bottom"/>
          </w:tcPr>
          <w:p>
            <w:pPr>
              <w:spacing w:after="0"/>
              <w:rPr>
                <w:sz w:val="10"/>
                <w:szCs w:val="10"/>
                <w:color w:val="auto"/>
              </w:rPr>
            </w:pPr>
          </w:p>
        </w:tc>
        <w:tc>
          <w:tcPr>
            <w:tcW w:w="400" w:type="dxa"/>
            <w:vAlign w:val="bottom"/>
          </w:tcPr>
          <w:p>
            <w:pPr>
              <w:jc w:val="center"/>
              <w:spacing w:after="0" w:line="125" w:lineRule="exact"/>
              <w:rPr>
                <w:sz w:val="20"/>
                <w:szCs w:val="20"/>
                <w:color w:val="auto"/>
              </w:rPr>
            </w:pPr>
            <w:r>
              <w:rPr>
                <w:rFonts w:ascii="Times New Roman" w:cs="Times New Roman" w:eastAsia="Times New Roman" w:hAnsi="Times New Roman"/>
                <w:sz w:val="13"/>
                <w:szCs w:val="13"/>
                <w:color w:val="auto"/>
              </w:rPr>
              <w:t>Level 2</w:t>
            </w:r>
          </w:p>
        </w:tc>
        <w:tc>
          <w:tcPr>
            <w:tcW w:w="300" w:type="dxa"/>
            <w:vAlign w:val="bottom"/>
          </w:tcPr>
          <w:p>
            <w:pPr>
              <w:spacing w:after="0"/>
              <w:rPr>
                <w:sz w:val="10"/>
                <w:szCs w:val="10"/>
                <w:color w:val="auto"/>
              </w:rPr>
            </w:pPr>
          </w:p>
        </w:tc>
        <w:tc>
          <w:tcPr>
            <w:tcW w:w="62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3"/>
                <w:szCs w:val="13"/>
                <w:color w:val="auto"/>
              </w:rPr>
              <w:t>Level 3</w:t>
            </w:r>
          </w:p>
        </w:tc>
        <w:tc>
          <w:tcPr>
            <w:tcW w:w="300" w:type="dxa"/>
            <w:vAlign w:val="bottom"/>
          </w:tcPr>
          <w:p>
            <w:pPr>
              <w:jc w:val="right"/>
              <w:spacing w:after="0" w:line="125" w:lineRule="exact"/>
              <w:rPr>
                <w:sz w:val="20"/>
                <w:szCs w:val="20"/>
                <w:color w:val="auto"/>
              </w:rPr>
            </w:pPr>
            <w:r>
              <w:rPr>
                <w:rFonts w:ascii="Times New Roman" w:cs="Times New Roman" w:eastAsia="Times New Roman" w:hAnsi="Times New Roman"/>
                <w:sz w:val="13"/>
                <w:szCs w:val="13"/>
                <w:color w:val="auto"/>
                <w:w w:val="94"/>
              </w:rPr>
              <w:t>Total</w:t>
            </w:r>
          </w:p>
        </w:tc>
        <w:tc>
          <w:tcPr>
            <w:tcW w:w="40" w:type="dxa"/>
            <w:vAlign w:val="bottom"/>
          </w:tcPr>
          <w:p>
            <w:pPr>
              <w:spacing w:after="0"/>
              <w:rPr>
                <w:sz w:val="10"/>
                <w:szCs w:val="10"/>
                <w:color w:val="auto"/>
              </w:rPr>
            </w:pPr>
          </w:p>
        </w:tc>
      </w:tr>
      <w:tr>
        <w:trPr>
          <w:trHeight w:val="125"/>
        </w:trPr>
        <w:tc>
          <w:tcPr>
            <w:tcW w:w="42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4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300" w:type="dxa"/>
            <w:vAlign w:val="bottom"/>
          </w:tcPr>
          <w:p>
            <w:pPr>
              <w:spacing w:after="0"/>
              <w:rPr>
                <w:sz w:val="10"/>
                <w:szCs w:val="10"/>
                <w:color w:val="auto"/>
              </w:rPr>
            </w:pPr>
          </w:p>
        </w:tc>
        <w:tc>
          <w:tcPr>
            <w:tcW w:w="4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220" w:type="dxa"/>
            <w:vAlign w:val="bottom"/>
          </w:tcPr>
          <w:p>
            <w:pPr>
              <w:spacing w:after="0"/>
              <w:rPr>
                <w:sz w:val="10"/>
                <w:szCs w:val="10"/>
                <w:color w:val="auto"/>
              </w:rPr>
            </w:pPr>
          </w:p>
        </w:tc>
        <w:tc>
          <w:tcPr>
            <w:tcW w:w="3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40" w:type="dxa"/>
            <w:vAlign w:val="bottom"/>
          </w:tcPr>
          <w:p>
            <w:pPr>
              <w:spacing w:after="0"/>
              <w:rPr>
                <w:sz w:val="10"/>
                <w:szCs w:val="10"/>
                <w:color w:val="auto"/>
              </w:rPr>
            </w:pPr>
          </w:p>
        </w:tc>
      </w:tr>
      <w:tr>
        <w:trPr>
          <w:trHeight w:val="193"/>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accounted for at fair value Listed equity securities</w:t>
            </w:r>
          </w:p>
        </w:tc>
        <w:tc>
          <w:tcPr>
            <w:tcW w:w="24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40" w:type="dxa"/>
            <w:vAlign w:val="bottom"/>
            <w:shd w:val="clear" w:color="auto" w:fill="CCEEFF"/>
          </w:tcPr>
          <w:p>
            <w:pPr>
              <w:spacing w:after="0"/>
              <w:rPr>
                <w:sz w:val="16"/>
                <w:szCs w:val="16"/>
                <w:color w:val="auto"/>
              </w:rPr>
            </w:pPr>
          </w:p>
        </w:tc>
      </w:tr>
      <w:tr>
        <w:trPr>
          <w:trHeight w:val="20"/>
        </w:trPr>
        <w:tc>
          <w:tcPr>
            <w:tcW w:w="4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3"/>
        </w:trPr>
        <w:tc>
          <w:tcPr>
            <w:tcW w:w="4200" w:type="dxa"/>
            <w:vAlign w:val="bottom"/>
          </w:tcPr>
          <w:p>
            <w:pPr>
              <w:spacing w:after="0"/>
              <w:rPr>
                <w:sz w:val="24"/>
                <w:szCs w:val="24"/>
                <w:color w:val="auto"/>
              </w:rPr>
            </w:pPr>
          </w:p>
        </w:tc>
        <w:tc>
          <w:tcPr>
            <w:tcW w:w="29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F-40</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540"/>
          </w:cols>
          <w:pgMar w:left="320" w:top="447" w:right="10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4. Accounts receivable, net of allowance for doubtful accounts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by the Group consist of the following:</w:t>
      </w:r>
    </w:p>
    <w:p>
      <w:pPr>
        <w:spacing w:after="0" w:line="222" w:lineRule="exact"/>
        <w:rPr>
          <w:sz w:val="20"/>
          <w:szCs w:val="20"/>
          <w:color w:val="auto"/>
        </w:rPr>
      </w:pPr>
    </w:p>
    <w:tbl>
      <w:tblPr>
        <w:tblLayout w:type="fixed"/>
        <w:tblInd w:w="1100" w:type="dxa"/>
        <w:tblCellMar>
          <w:top w:w="0" w:type="dxa"/>
          <w:left w:w="0" w:type="dxa"/>
          <w:bottom w:w="0" w:type="dxa"/>
          <w:right w:w="0" w:type="dxa"/>
        </w:tblCellMar>
      </w:tblPr>
      <w:tr>
        <w:trPr>
          <w:trHeight w:val="153"/>
        </w:trPr>
        <w:tc>
          <w:tcPr>
            <w:tcW w:w="7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As of</w:t>
            </w:r>
          </w:p>
        </w:tc>
      </w:tr>
      <w:tr>
        <w:trPr>
          <w:trHeight w:val="125"/>
        </w:trPr>
        <w:tc>
          <w:tcPr>
            <w:tcW w:w="78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Borders>
              <w:top w:val="single" w:sz="8" w:color="auto"/>
            </w:tcBorders>
            <w:gridSpan w:val="2"/>
          </w:tcPr>
          <w:p>
            <w:pPr>
              <w:jc w:val="right"/>
              <w:ind w:right="120"/>
              <w:spacing w:after="0" w:line="125" w:lineRule="exact"/>
              <w:rPr>
                <w:sz w:val="20"/>
                <w:szCs w:val="20"/>
                <w:color w:val="auto"/>
              </w:rPr>
            </w:pPr>
            <w:r>
              <w:rPr>
                <w:rFonts w:ascii="Times New Roman" w:cs="Times New Roman" w:eastAsia="Times New Roman" w:hAnsi="Times New Roman"/>
                <w:sz w:val="13"/>
                <w:szCs w:val="13"/>
                <w:color w:val="auto"/>
                <w:w w:val="97"/>
              </w:rPr>
              <w:t>December 31, 2021</w:t>
            </w:r>
          </w:p>
        </w:tc>
        <w:tc>
          <w:tcPr>
            <w:tcW w:w="5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w w:val="91"/>
              </w:rPr>
              <w:t>December 31, 2022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78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Borders>
              <w:top w:val="single" w:sz="8" w:color="auto"/>
            </w:tcBorders>
          </w:tcPr>
          <w:p>
            <w:pPr>
              <w:jc w:val="right"/>
              <w:ind w:right="289"/>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Borders>
              <w:top w:val="single" w:sz="8" w:color="auto"/>
            </w:tcBorders>
          </w:tcPr>
          <w:p>
            <w:pPr>
              <w:jc w:val="right"/>
              <w:ind w:right="293"/>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93"/>
        </w:trPr>
        <w:tc>
          <w:tcPr>
            <w:tcW w:w="780" w:type="dxa"/>
            <w:vAlign w:val="bottom"/>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780,431</w:t>
            </w:r>
          </w:p>
        </w:tc>
        <w:tc>
          <w:tcPr>
            <w:tcW w:w="1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255,251</w:t>
            </w:r>
          </w:p>
        </w:tc>
        <w:tc>
          <w:tcPr>
            <w:tcW w:w="40" w:type="dxa"/>
            <w:vAlign w:val="bottom"/>
            <w:shd w:val="clear" w:color="auto" w:fill="CCEEFF"/>
          </w:tcPr>
          <w:p>
            <w:pPr>
              <w:spacing w:after="0"/>
              <w:rPr>
                <w:sz w:val="16"/>
                <w:szCs w:val="16"/>
                <w:color w:val="auto"/>
              </w:rPr>
            </w:pPr>
          </w:p>
        </w:tc>
      </w:tr>
      <w:tr>
        <w:trPr>
          <w:trHeight w:val="193"/>
        </w:trPr>
        <w:tc>
          <w:tcPr>
            <w:tcW w:w="78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Less: allowance for doubtful accounts</w:t>
            </w:r>
          </w:p>
        </w:tc>
        <w:tc>
          <w:tcPr>
            <w:tcW w:w="60" w:type="dxa"/>
            <w:vAlign w:val="bottom"/>
          </w:tcPr>
          <w:p>
            <w:pPr>
              <w:spacing w:after="0"/>
              <w:rPr>
                <w:sz w:val="16"/>
                <w:szCs w:val="16"/>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(3,169)</w:t>
            </w:r>
          </w:p>
        </w:tc>
        <w:tc>
          <w:tcPr>
            <w:tcW w:w="16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(4,584)</w:t>
            </w:r>
          </w:p>
        </w:tc>
      </w:tr>
      <w:tr>
        <w:trPr>
          <w:trHeight w:val="24"/>
        </w:trPr>
        <w:tc>
          <w:tcPr>
            <w:tcW w:w="7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780" w:type="dxa"/>
            <w:vAlign w:val="bottom"/>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777,262</w:t>
            </w:r>
          </w:p>
        </w:tc>
        <w:tc>
          <w:tcPr>
            <w:tcW w:w="1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250,667</w:t>
            </w:r>
          </w:p>
        </w:tc>
        <w:tc>
          <w:tcPr>
            <w:tcW w:w="40" w:type="dxa"/>
            <w:vAlign w:val="bottom"/>
            <w:shd w:val="clear" w:color="auto" w:fill="CCEEFF"/>
          </w:tcPr>
          <w:p>
            <w:pPr>
              <w:spacing w:after="0"/>
              <w:rPr>
                <w:sz w:val="16"/>
                <w:szCs w:val="16"/>
                <w:color w:val="auto"/>
              </w:rPr>
            </w:pPr>
          </w:p>
        </w:tc>
      </w:tr>
      <w:tr>
        <w:trPr>
          <w:trHeight w:val="20"/>
        </w:trPr>
        <w:tc>
          <w:tcPr>
            <w:tcW w:w="5480" w:type="dxa"/>
            <w:vAlign w:val="bottom"/>
            <w:gridSpan w:val="3"/>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4"/>
        </w:trPr>
        <w:tc>
          <w:tcPr>
            <w:tcW w:w="6620" w:type="dxa"/>
            <w:vAlign w:val="bottom"/>
            <w:gridSpan w:val="5"/>
          </w:tcPr>
          <w:p>
            <w:pPr>
              <w:jc w:val="right"/>
              <w:ind w:right="520"/>
              <w:spacing w:after="0"/>
              <w:rPr>
                <w:sz w:val="20"/>
                <w:szCs w:val="20"/>
                <w:color w:val="auto"/>
              </w:rPr>
            </w:pPr>
            <w:r>
              <w:rPr>
                <w:rFonts w:ascii="Times New Roman" w:cs="Times New Roman" w:eastAsia="Times New Roman" w:hAnsi="Times New Roman"/>
                <w:sz w:val="16"/>
                <w:szCs w:val="16"/>
                <w:color w:val="auto"/>
                <w:w w:val="99"/>
              </w:rPr>
              <w:t>The following table summarizes the movement of the Group’s provision for doubtful accounts:</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0"/>
        </w:trPr>
        <w:tc>
          <w:tcPr>
            <w:tcW w:w="7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As of</w:t>
            </w:r>
          </w:p>
        </w:tc>
      </w:tr>
      <w:tr>
        <w:trPr>
          <w:trHeight w:val="125"/>
        </w:trPr>
        <w:tc>
          <w:tcPr>
            <w:tcW w:w="78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180"/>
              <w:spacing w:after="0" w:line="125" w:lineRule="exact"/>
              <w:rPr>
                <w:sz w:val="20"/>
                <w:szCs w:val="20"/>
                <w:color w:val="auto"/>
              </w:rPr>
            </w:pPr>
            <w:r>
              <w:rPr>
                <w:rFonts w:ascii="Times New Roman" w:cs="Times New Roman" w:eastAsia="Times New Roman" w:hAnsi="Times New Roman"/>
                <w:sz w:val="13"/>
                <w:szCs w:val="13"/>
                <w:color w:val="auto"/>
                <w:w w:val="97"/>
              </w:rPr>
              <w:t>December 31, 2021</w:t>
            </w:r>
          </w:p>
        </w:tc>
        <w:tc>
          <w:tcPr>
            <w:tcW w:w="5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20"/>
              <w:spacing w:after="0" w:line="125" w:lineRule="exact"/>
              <w:rPr>
                <w:sz w:val="20"/>
                <w:szCs w:val="20"/>
                <w:color w:val="auto"/>
              </w:rPr>
            </w:pPr>
            <w:r>
              <w:rPr>
                <w:rFonts w:ascii="Times New Roman" w:cs="Times New Roman" w:eastAsia="Times New Roman" w:hAnsi="Times New Roman"/>
                <w:sz w:val="13"/>
                <w:szCs w:val="13"/>
                <w:color w:val="auto"/>
                <w:w w:val="95"/>
              </w:rPr>
              <w:t>December 31, 2022</w:t>
            </w:r>
          </w:p>
        </w:tc>
        <w:tc>
          <w:tcPr>
            <w:tcW w:w="40" w:type="dxa"/>
            <w:vAlign w:val="bottom"/>
          </w:tcPr>
          <w:p>
            <w:pPr>
              <w:spacing w:after="0"/>
              <w:rPr>
                <w:sz w:val="10"/>
                <w:szCs w:val="10"/>
                <w:color w:val="auto"/>
              </w:rPr>
            </w:pPr>
          </w:p>
        </w:tc>
      </w:tr>
      <w:tr>
        <w:trPr>
          <w:trHeight w:val="125"/>
        </w:trPr>
        <w:tc>
          <w:tcPr>
            <w:tcW w:w="78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349"/>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Borders>
              <w:top w:val="single" w:sz="8" w:color="auto"/>
            </w:tcBorders>
            <w:gridSpan w:val="2"/>
          </w:tcPr>
          <w:p>
            <w:pPr>
              <w:jc w:val="right"/>
              <w:ind w:right="380"/>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40" w:type="dxa"/>
            <w:vAlign w:val="bottom"/>
          </w:tcPr>
          <w:p>
            <w:pPr>
              <w:spacing w:after="0"/>
              <w:rPr>
                <w:sz w:val="10"/>
                <w:szCs w:val="10"/>
                <w:color w:val="auto"/>
              </w:rPr>
            </w:pPr>
          </w:p>
        </w:tc>
      </w:tr>
      <w:tr>
        <w:trPr>
          <w:trHeight w:val="193"/>
        </w:trPr>
        <w:tc>
          <w:tcPr>
            <w:tcW w:w="780" w:type="dxa"/>
            <w:vAlign w:val="bottom"/>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beginning of the year</w:t>
            </w:r>
          </w:p>
        </w:tc>
        <w:tc>
          <w:tcPr>
            <w:tcW w:w="1080" w:type="dxa"/>
            <w:vAlign w:val="bottom"/>
            <w:tcBorders>
              <w:right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1,724</w:t>
            </w:r>
          </w:p>
        </w:tc>
        <w:tc>
          <w:tcPr>
            <w:tcW w:w="120" w:type="dxa"/>
            <w:vAlign w:val="bottom"/>
            <w:shd w:val="clear" w:color="auto" w:fill="CCEEFF"/>
          </w:tcPr>
          <w:p>
            <w:pPr>
              <w:spacing w:after="0"/>
              <w:rPr>
                <w:sz w:val="16"/>
                <w:szCs w:val="16"/>
                <w:color w:val="auto"/>
              </w:rPr>
            </w:pPr>
          </w:p>
        </w:tc>
        <w:tc>
          <w:tcPr>
            <w:tcW w:w="16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3,169</w:t>
            </w:r>
          </w:p>
        </w:tc>
      </w:tr>
      <w:tr>
        <w:trPr>
          <w:trHeight w:val="197"/>
        </w:trPr>
        <w:tc>
          <w:tcPr>
            <w:tcW w:w="78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08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color w:val="auto"/>
              </w:rPr>
              <w:t>1,445</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40" w:type="dxa"/>
            <w:vAlign w:val="bottom"/>
          </w:tcPr>
          <w:p>
            <w:pPr>
              <w:spacing w:after="0"/>
              <w:rPr>
                <w:sz w:val="17"/>
                <w:szCs w:val="17"/>
                <w:color w:val="auto"/>
              </w:rPr>
            </w:pPr>
          </w:p>
        </w:tc>
      </w:tr>
      <w:tr>
        <w:trPr>
          <w:trHeight w:val="193"/>
        </w:trPr>
        <w:tc>
          <w:tcPr>
            <w:tcW w:w="780" w:type="dxa"/>
            <w:vAlign w:val="bottom"/>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end of the year</w:t>
            </w:r>
          </w:p>
        </w:tc>
        <w:tc>
          <w:tcPr>
            <w:tcW w:w="1080" w:type="dxa"/>
            <w:vAlign w:val="bottom"/>
            <w:tcBorders>
              <w:right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3,169</w:t>
            </w:r>
          </w:p>
        </w:tc>
        <w:tc>
          <w:tcPr>
            <w:tcW w:w="120" w:type="dxa"/>
            <w:vAlign w:val="bottom"/>
            <w:shd w:val="clear" w:color="auto" w:fill="CCEEFF"/>
          </w:tcPr>
          <w:p>
            <w:pPr>
              <w:spacing w:after="0"/>
              <w:rPr>
                <w:sz w:val="16"/>
                <w:szCs w:val="16"/>
                <w:color w:val="auto"/>
              </w:rPr>
            </w:pPr>
          </w:p>
        </w:tc>
        <w:tc>
          <w:tcPr>
            <w:tcW w:w="16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4,584</w:t>
            </w:r>
          </w:p>
        </w:tc>
      </w:tr>
      <w:tr>
        <w:trPr>
          <w:trHeight w:val="20"/>
        </w:trPr>
        <w:tc>
          <w:tcPr>
            <w:tcW w:w="7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5. Related party balances and transactions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table below sets major related parties of the Group and their relationships with the Group:</w:t>
      </w:r>
    </w:p>
    <w:p>
      <w:pPr>
        <w:spacing w:after="0" w:line="222" w:lineRule="exact"/>
        <w:rPr>
          <w:sz w:val="20"/>
          <w:szCs w:val="20"/>
          <w:color w:val="auto"/>
        </w:rPr>
      </w:pPr>
    </w:p>
    <w:tbl>
      <w:tblPr>
        <w:tblLayout w:type="fixed"/>
        <w:tblInd w:w="1100" w:type="dxa"/>
        <w:tblCellMar>
          <w:top w:w="0" w:type="dxa"/>
          <w:left w:w="0" w:type="dxa"/>
          <w:bottom w:w="0" w:type="dxa"/>
          <w:right w:w="0" w:type="dxa"/>
        </w:tblCellMar>
      </w:tblPr>
      <w:tr>
        <w:trPr>
          <w:trHeight w:val="165"/>
        </w:trPr>
        <w:tc>
          <w:tcPr>
            <w:tcW w:w="4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Entity or individual name</w:t>
            </w:r>
          </w:p>
        </w:tc>
        <w:tc>
          <w:tcPr>
            <w:tcW w:w="434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Relationship with the Group</w:t>
            </w:r>
          </w:p>
        </w:tc>
      </w:tr>
      <w:tr>
        <w:trPr>
          <w:trHeight w:val="168"/>
        </w:trPr>
        <w:tc>
          <w:tcPr>
            <w:tcW w:w="20" w:type="dxa"/>
            <w:vAlign w:val="bottom"/>
          </w:tcPr>
          <w:p>
            <w:pPr>
              <w:spacing w:after="0"/>
              <w:rPr>
                <w:sz w:val="14"/>
                <w:szCs w:val="14"/>
                <w:color w:val="auto"/>
              </w:rPr>
            </w:pPr>
          </w:p>
        </w:tc>
        <w:tc>
          <w:tcPr>
            <w:tcW w:w="460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6"/>
                <w:szCs w:val="16"/>
                <w:color w:val="auto"/>
              </w:rPr>
              <w:t>Cunjun Ma</w:t>
            </w:r>
          </w:p>
        </w:tc>
        <w:tc>
          <w:tcPr>
            <w:tcW w:w="80" w:type="dxa"/>
            <w:vAlign w:val="bottom"/>
          </w:tcPr>
          <w:p>
            <w:pPr>
              <w:spacing w:after="0"/>
              <w:rPr>
                <w:sz w:val="14"/>
                <w:szCs w:val="14"/>
                <w:color w:val="auto"/>
              </w:rPr>
            </w:pPr>
          </w:p>
        </w:tc>
        <w:tc>
          <w:tcPr>
            <w:tcW w:w="434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6"/>
                <w:szCs w:val="16"/>
                <w:color w:val="auto"/>
              </w:rPr>
              <w:t>Chief Executive Officer and Director of the Group</w:t>
            </w:r>
          </w:p>
        </w:tc>
      </w:tr>
      <w:tr>
        <w:trPr>
          <w:trHeight w:val="193"/>
        </w:trPr>
        <w:tc>
          <w:tcPr>
            <w:tcW w:w="4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Individual Director or Officer</w:t>
            </w: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Directors or Officers of the Group</w:t>
            </w:r>
          </w:p>
        </w:tc>
      </w:tr>
      <w:tr>
        <w:trPr>
          <w:trHeight w:val="193"/>
        </w:trPr>
        <w:tc>
          <w:tcPr>
            <w:tcW w:w="4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Shareholders and minority shareholders</w:t>
            </w: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and minority shareholders</w:t>
            </w:r>
          </w:p>
        </w:tc>
      </w:tr>
      <w:tr>
        <w:trPr>
          <w:trHeight w:val="193"/>
        </w:trPr>
        <w:tc>
          <w:tcPr>
            <w:tcW w:w="4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Xiaoke Huixuan (Shenzhen) Technology Co., Ltd. (“Xiaoke”)</w:t>
            </w: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Company that the Group has significant influence on</w:t>
            </w:r>
          </w:p>
        </w:tc>
      </w:tr>
      <w:tr>
        <w:trPr>
          <w:trHeight w:val="209"/>
        </w:trPr>
        <w:tc>
          <w:tcPr>
            <w:tcW w:w="4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Huibao Huipei (Shenzhen) Technology Co., Ltd (“Huibao Huipei”)</w:t>
            </w: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Company that the Group has significant influence on</w:t>
            </w:r>
          </w:p>
        </w:tc>
      </w:tr>
    </w:tbl>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Details of related party transactions for the years ended December 31, 2020, 2021 and 2022 are as follows:</w:t>
      </w:r>
    </w:p>
    <w:p>
      <w:pPr>
        <w:spacing w:after="0" w:line="20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Service provided by related parties:</w:t>
      </w:r>
    </w:p>
    <w:p>
      <w:pPr>
        <w:spacing w:after="0" w:line="222" w:lineRule="exact"/>
        <w:rPr>
          <w:sz w:val="20"/>
          <w:szCs w:val="20"/>
          <w:color w:val="auto"/>
        </w:rPr>
      </w:pPr>
    </w:p>
    <w:tbl>
      <w:tblPr>
        <w:tblLayout w:type="fixed"/>
        <w:tblInd w:w="1500" w:type="dxa"/>
        <w:tblCellMar>
          <w:top w:w="0" w:type="dxa"/>
          <w:left w:w="0" w:type="dxa"/>
          <w:bottom w:w="0" w:type="dxa"/>
          <w:right w:w="0" w:type="dxa"/>
        </w:tblCellMar>
      </w:tblPr>
      <w:tr>
        <w:trPr>
          <w:trHeight w:val="153"/>
        </w:trPr>
        <w:tc>
          <w:tcPr>
            <w:tcW w:w="6400" w:type="dxa"/>
            <w:vAlign w:val="bottom"/>
          </w:tcPr>
          <w:p>
            <w:pPr>
              <w:spacing w:after="0"/>
              <w:rPr>
                <w:sz w:val="13"/>
                <w:szCs w:val="13"/>
                <w:color w:val="auto"/>
              </w:rPr>
            </w:pPr>
          </w:p>
        </w:tc>
        <w:tc>
          <w:tcPr>
            <w:tcW w:w="1860" w:type="dxa"/>
            <w:vAlign w:val="bottom"/>
            <w:gridSpan w:val="6"/>
          </w:tcPr>
          <w:p>
            <w:pPr>
              <w:ind w:left="60"/>
              <w:spacing w:after="0"/>
              <w:rPr>
                <w:sz w:val="20"/>
                <w:szCs w:val="20"/>
                <w:color w:val="auto"/>
              </w:rPr>
            </w:pPr>
            <w:r>
              <w:rPr>
                <w:rFonts w:ascii="Times New Roman" w:cs="Times New Roman" w:eastAsia="Times New Roman" w:hAnsi="Times New Roman"/>
                <w:sz w:val="13"/>
                <w:szCs w:val="13"/>
                <w:color w:val="auto"/>
              </w:rPr>
              <w:t>For the year ended December 31</w:t>
            </w:r>
          </w:p>
        </w:tc>
      </w:tr>
      <w:tr>
        <w:trPr>
          <w:trHeight w:val="125"/>
        </w:trPr>
        <w:tc>
          <w:tcPr>
            <w:tcW w:w="6400" w:type="dxa"/>
            <w:vAlign w:val="bottom"/>
          </w:tcPr>
          <w:p>
            <w:pPr>
              <w:spacing w:after="0"/>
              <w:rPr>
                <w:sz w:val="10"/>
                <w:szCs w:val="10"/>
                <w:color w:val="auto"/>
              </w:rPr>
            </w:pPr>
          </w:p>
        </w:tc>
        <w:tc>
          <w:tcPr>
            <w:tcW w:w="3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9"/>
              </w:rPr>
              <w:t>2020</w:t>
            </w:r>
          </w:p>
        </w:tc>
        <w:tc>
          <w:tcPr>
            <w:tcW w:w="780" w:type="dxa"/>
            <w:vAlign w:val="bottom"/>
            <w:tcBorders>
              <w:top w:val="single" w:sz="8" w:color="auto"/>
            </w:tcBorders>
            <w:gridSpan w:val="2"/>
          </w:tcPr>
          <w:p>
            <w:pPr>
              <w:jc w:val="right"/>
              <w:ind w:right="88"/>
              <w:spacing w:after="0" w:line="125" w:lineRule="exact"/>
              <w:rPr>
                <w:sz w:val="20"/>
                <w:szCs w:val="20"/>
                <w:color w:val="auto"/>
              </w:rPr>
            </w:pPr>
            <w:r>
              <w:rPr>
                <w:rFonts w:ascii="Times New Roman" w:cs="Times New Roman" w:eastAsia="Times New Roman" w:hAnsi="Times New Roman"/>
                <w:sz w:val="13"/>
                <w:szCs w:val="13"/>
                <w:color w:val="auto"/>
              </w:rPr>
              <w:t>2021</w:t>
            </w:r>
          </w:p>
        </w:tc>
        <w:tc>
          <w:tcPr>
            <w:tcW w:w="700" w:type="dxa"/>
            <w:vAlign w:val="bottom"/>
            <w:tcBorders>
              <w:top w:val="single" w:sz="8" w:color="auto"/>
            </w:tcBorders>
            <w:gridSpan w:val="2"/>
          </w:tcPr>
          <w:p>
            <w:pPr>
              <w:jc w:val="right"/>
              <w:ind w:right="45"/>
              <w:spacing w:after="0" w:line="125" w:lineRule="exact"/>
              <w:rPr>
                <w:sz w:val="20"/>
                <w:szCs w:val="20"/>
                <w:color w:val="auto"/>
              </w:rPr>
            </w:pPr>
            <w:r>
              <w:rPr>
                <w:rFonts w:ascii="Times New Roman" w:cs="Times New Roman" w:eastAsia="Times New Roman" w:hAnsi="Times New Roman"/>
                <w:sz w:val="13"/>
                <w:szCs w:val="13"/>
                <w:color w:val="auto"/>
              </w:rPr>
              <w:t>2022</w:t>
            </w:r>
          </w:p>
        </w:tc>
        <w:tc>
          <w:tcPr>
            <w:tcW w:w="60" w:type="dxa"/>
            <w:vAlign w:val="bottom"/>
          </w:tcPr>
          <w:p>
            <w:pPr>
              <w:spacing w:after="0"/>
              <w:rPr>
                <w:sz w:val="10"/>
                <w:szCs w:val="10"/>
                <w:color w:val="auto"/>
              </w:rPr>
            </w:pPr>
          </w:p>
        </w:tc>
      </w:tr>
      <w:tr>
        <w:trPr>
          <w:trHeight w:val="125"/>
        </w:trPr>
        <w:tc>
          <w:tcPr>
            <w:tcW w:w="6400" w:type="dxa"/>
            <w:vAlign w:val="bottom"/>
          </w:tcPr>
          <w:p>
            <w:pPr>
              <w:spacing w:after="0"/>
              <w:rPr>
                <w:sz w:val="10"/>
                <w:szCs w:val="10"/>
                <w:color w:val="auto"/>
              </w:rPr>
            </w:pPr>
          </w:p>
        </w:tc>
        <w:tc>
          <w:tcPr>
            <w:tcW w:w="320" w:type="dxa"/>
            <w:vAlign w:val="bottom"/>
            <w:tcBorders>
              <w:top w:val="single" w:sz="8" w:color="auto"/>
            </w:tcBorders>
          </w:tcPr>
          <w:p>
            <w:pPr>
              <w:ind w:left="20"/>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220" w:type="dxa"/>
            <w:vAlign w:val="bottom"/>
          </w:tcPr>
          <w:p>
            <w:pPr>
              <w:spacing w:after="0"/>
              <w:rPr>
                <w:sz w:val="10"/>
                <w:szCs w:val="10"/>
                <w:color w:val="auto"/>
              </w:rPr>
            </w:pPr>
          </w:p>
        </w:tc>
        <w:tc>
          <w:tcPr>
            <w:tcW w:w="560" w:type="dxa"/>
            <w:vAlign w:val="bottom"/>
            <w:tcBorders>
              <w:top w:val="single" w:sz="8" w:color="auto"/>
            </w:tcBorders>
          </w:tcPr>
          <w:p>
            <w:pPr>
              <w:jc w:val="right"/>
              <w:ind w:right="68"/>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200" w:type="dxa"/>
            <w:vAlign w:val="bottom"/>
          </w:tcPr>
          <w:p>
            <w:pPr>
              <w:spacing w:after="0"/>
              <w:rPr>
                <w:sz w:val="10"/>
                <w:szCs w:val="10"/>
                <w:color w:val="auto"/>
              </w:rPr>
            </w:pPr>
          </w:p>
        </w:tc>
        <w:tc>
          <w:tcPr>
            <w:tcW w:w="500" w:type="dxa"/>
            <w:vAlign w:val="bottom"/>
            <w:tcBorders>
              <w:top w:val="single" w:sz="8" w:color="auto"/>
            </w:tcBorders>
          </w:tcPr>
          <w:p>
            <w:pPr>
              <w:jc w:val="right"/>
              <w:ind w:right="25"/>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60" w:type="dxa"/>
            <w:vAlign w:val="bottom"/>
          </w:tcPr>
          <w:p>
            <w:pPr>
              <w:spacing w:after="0"/>
              <w:rPr>
                <w:sz w:val="10"/>
                <w:szCs w:val="10"/>
                <w:color w:val="auto"/>
              </w:rPr>
            </w:pPr>
          </w:p>
        </w:tc>
      </w:tr>
      <w:tr>
        <w:trPr>
          <w:trHeight w:val="19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Technology service fee to Xiaoke</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7,259</w:t>
            </w:r>
          </w:p>
        </w:tc>
        <w:tc>
          <w:tcPr>
            <w:tcW w:w="60" w:type="dxa"/>
            <w:vAlign w:val="bottom"/>
            <w:shd w:val="clear" w:color="auto" w:fill="CCEEFF"/>
          </w:tcPr>
          <w:p>
            <w:pPr>
              <w:spacing w:after="0"/>
              <w:rPr>
                <w:sz w:val="16"/>
                <w:szCs w:val="16"/>
                <w:color w:val="auto"/>
              </w:rPr>
            </w:pPr>
          </w:p>
        </w:tc>
      </w:tr>
      <w:tr>
        <w:trPr>
          <w:trHeight w:val="193"/>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PPC advertisement service fee to Xiaoke</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Channel cost to Huibao Huipei</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60" w:type="dxa"/>
            <w:vAlign w:val="bottom"/>
            <w:shd w:val="clear" w:color="auto" w:fill="CCEEFF"/>
          </w:tcPr>
          <w:p>
            <w:pPr>
              <w:spacing w:after="0"/>
              <w:rPr>
                <w:sz w:val="16"/>
                <w:szCs w:val="16"/>
                <w:color w:val="auto"/>
              </w:rPr>
            </w:pPr>
          </w:p>
        </w:tc>
      </w:tr>
      <w:tr>
        <w:trPr>
          <w:trHeight w:val="197"/>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12,161</w:t>
            </w:r>
          </w:p>
        </w:tc>
        <w:tc>
          <w:tcPr>
            <w:tcW w:w="2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9,313</w:t>
            </w:r>
          </w:p>
        </w:tc>
        <w:tc>
          <w:tcPr>
            <w:tcW w:w="60" w:type="dxa"/>
            <w:vAlign w:val="bottom"/>
          </w:tcPr>
          <w:p>
            <w:pPr>
              <w:spacing w:after="0"/>
              <w:rPr>
                <w:sz w:val="17"/>
                <w:szCs w:val="17"/>
                <w:color w:val="auto"/>
              </w:rPr>
            </w:pP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According to the cooperation agreements in 2021 and 2022, Xiaoke provides technology service to the Company, and Huibao Huipei serves as one of the Company’s traffic channels.</w:t>
      </w:r>
    </w:p>
    <w:p>
      <w:pPr>
        <w:spacing w:after="0" w:line="8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F-41</w:t>
      </w:r>
    </w:p>
    <w:p>
      <w:pPr>
        <w:sectPr>
          <w:pgSz w:w="11900" w:h="16838" w:orient="portrait"/>
          <w:cols w:equalWidth="0" w:num="1">
            <w:col w:w="10260"/>
          </w:cols>
          <w:pgMar w:left="320" w:top="447" w:right="13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1100" w:right="6040" w:hanging="393"/>
        <w:spacing w:after="0" w:line="459" w:lineRule="auto"/>
        <w:tabs>
          <w:tab w:leader="none" w:pos="867" w:val="left"/>
        </w:tabs>
        <w:numPr>
          <w:ilvl w:val="0"/>
          <w:numId w:val="1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Related party balances and transactions (Continued) </w:t>
      </w:r>
      <w:r>
        <w:rPr>
          <w:rFonts w:ascii="Times New Roman" w:cs="Times New Roman" w:eastAsia="Times New Roman" w:hAnsi="Times New Roman"/>
          <w:sz w:val="16"/>
          <w:szCs w:val="16"/>
          <w:color w:val="auto"/>
        </w:rPr>
        <w:t>Service provided to related parties:</w:t>
      </w:r>
    </w:p>
    <w:p>
      <w:pPr>
        <w:spacing w:after="0" w:line="3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3"/>
          <w:szCs w:val="13"/>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1905</wp:posOffset>
            </wp:positionV>
            <wp:extent cx="130873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1308735" cy="7620"/>
                    </a:xfrm>
                    <a:prstGeom prst="rect">
                      <a:avLst/>
                    </a:prstGeom>
                    <a:noFill/>
                  </pic:spPr>
                </pic:pic>
              </a:graphicData>
            </a:graphic>
          </wp:anchor>
        </w:drawing>
      </w:r>
    </w:p>
    <w:p>
      <w:pPr>
        <w:ind w:left="7720"/>
        <w:spacing w:after="0"/>
        <w:tabs>
          <w:tab w:leader="none" w:pos="8500" w:val="left"/>
          <w:tab w:leader="none" w:pos="9340" w:val="left"/>
        </w:tabs>
        <w:rPr>
          <w:sz w:val="20"/>
          <w:szCs w:val="20"/>
          <w:color w:val="auto"/>
        </w:rPr>
      </w:pPr>
      <w:r>
        <w:rPr>
          <w:rFonts w:ascii="Times New Roman" w:cs="Times New Roman" w:eastAsia="Times New Roman" w:hAnsi="Times New Roman"/>
          <w:sz w:val="13"/>
          <w:szCs w:val="13"/>
          <w:color w:val="auto"/>
        </w:rPr>
        <w:t>2020</w:t>
      </w:r>
      <w:r>
        <w:rPr>
          <w:sz w:val="20"/>
          <w:szCs w:val="20"/>
          <w:color w:val="auto"/>
        </w:rPr>
        <w:tab/>
      </w:r>
      <w:r>
        <w:rPr>
          <w:rFonts w:ascii="Times New Roman" w:cs="Times New Roman" w:eastAsia="Times New Roman" w:hAnsi="Times New Roman"/>
          <w:sz w:val="13"/>
          <w:szCs w:val="13"/>
          <w:color w:val="auto"/>
        </w:rPr>
        <w:t>2021</w:t>
      </w:r>
      <w:r>
        <w:rPr>
          <w:sz w:val="20"/>
          <w:szCs w:val="20"/>
          <w:color w:val="auto"/>
        </w:rPr>
        <w:tab/>
      </w:r>
      <w:r>
        <w:rPr>
          <w:rFonts w:ascii="Times New Roman" w:cs="Times New Roman" w:eastAsia="Times New Roman" w:hAnsi="Times New Roman"/>
          <w:sz w:val="12"/>
          <w:szCs w:val="12"/>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5882005</wp:posOffset>
            </wp:positionH>
            <wp:positionV relativeFrom="paragraph">
              <wp:posOffset>-3175</wp:posOffset>
            </wp:positionV>
            <wp:extent cx="28321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283210" cy="7620"/>
                    </a:xfrm>
                    <a:prstGeom prst="rect">
                      <a:avLst/>
                    </a:prstGeom>
                    <a:noFill/>
                  </pic:spPr>
                </pic:pic>
              </a:graphicData>
            </a:graphic>
          </wp:anchor>
        </w:drawing>
        <w:drawing>
          <wp:anchor simplePos="0" relativeHeight="251657728" behindDoc="1" locked="0" layoutInCell="0" allowOverlap="1">
            <wp:simplePos x="0" y="0"/>
            <wp:positionH relativeFrom="column">
              <wp:posOffset>5361940</wp:posOffset>
            </wp:positionH>
            <wp:positionV relativeFrom="paragraph">
              <wp:posOffset>-3175</wp:posOffset>
            </wp:positionV>
            <wp:extent cx="27559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275590" cy="7620"/>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-3175</wp:posOffset>
            </wp:positionV>
            <wp:extent cx="26797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267970" cy="7620"/>
                    </a:xfrm>
                    <a:prstGeom prst="rect">
                      <a:avLst/>
                    </a:prstGeom>
                    <a:noFill/>
                  </pic:spPr>
                </pic:pic>
              </a:graphicData>
            </a:graphic>
          </wp:anchor>
        </w:drawing>
      </w:r>
    </w:p>
    <w:p>
      <w:pPr>
        <w:ind w:left="7720"/>
        <w:spacing w:after="0"/>
        <w:tabs>
          <w:tab w:leader="none" w:pos="8500" w:val="left"/>
          <w:tab w:leader="none" w:pos="9320" w:val="left"/>
        </w:tabs>
        <w:rPr>
          <w:sz w:val="20"/>
          <w:szCs w:val="20"/>
          <w:color w:val="auto"/>
        </w:rPr>
      </w:pPr>
      <w:r>
        <w:rPr>
          <w:rFonts w:ascii="Times New Roman" w:cs="Times New Roman" w:eastAsia="Times New Roman" w:hAnsi="Times New Roman"/>
          <w:sz w:val="13"/>
          <w:szCs w:val="13"/>
          <w:color w:val="auto"/>
        </w:rPr>
        <w:t>RMB</w:t>
      </w:r>
      <w:r>
        <w:rPr>
          <w:sz w:val="20"/>
          <w:szCs w:val="20"/>
          <w:color w:val="auto"/>
        </w:rPr>
        <w:tab/>
      </w:r>
      <w:r>
        <w:rPr>
          <w:rFonts w:ascii="Times New Roman" w:cs="Times New Roman" w:eastAsia="Times New Roman" w:hAnsi="Times New Roman"/>
          <w:sz w:val="13"/>
          <w:szCs w:val="13"/>
          <w:color w:val="auto"/>
        </w:rPr>
        <w:t>RMB</w:t>
      </w:r>
      <w:r>
        <w:rPr>
          <w:sz w:val="20"/>
          <w:szCs w:val="20"/>
          <w:color w:val="auto"/>
        </w:rPr>
        <w:tab/>
      </w:r>
      <w:r>
        <w:rPr>
          <w:rFonts w:ascii="Times New Roman" w:cs="Times New Roman" w:eastAsia="Times New Roman" w:hAnsi="Times New Roman"/>
          <w:sz w:val="12"/>
          <w:szCs w:val="12"/>
          <w:color w:val="auto"/>
        </w:rPr>
        <w:t>RMB</w:t>
      </w:r>
    </w:p>
    <w:p>
      <w:pPr>
        <w:spacing w:after="0" w:line="9"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Consulting service fee to Huibao Huipei</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60" w:type="dxa"/>
            <w:vAlign w:val="bottom"/>
            <w:shd w:val="clear" w:color="auto" w:fill="CCEEFF"/>
          </w:tcPr>
          <w:p>
            <w:pPr>
              <w:spacing w:after="0"/>
              <w:rPr>
                <w:sz w:val="16"/>
                <w:szCs w:val="16"/>
                <w:color w:val="auto"/>
              </w:rPr>
            </w:pPr>
          </w:p>
        </w:tc>
      </w:tr>
      <w:tr>
        <w:trPr>
          <w:trHeight w:val="197"/>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4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60" w:type="dxa"/>
            <w:vAlign w:val="bottom"/>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Company provides consulting service to Huibao Huipei according to the cooperation agreement in 2022.</w:t>
      </w:r>
    </w:p>
    <w:p>
      <w:pPr>
        <w:spacing w:after="0" w:line="20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Details of related party balances as of December 31, 2021 and 2022 are as follows:</w:t>
      </w:r>
    </w:p>
    <w:p>
      <w:pPr>
        <w:spacing w:after="0" w:line="20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Amounts due from related parties:</w:t>
      </w:r>
    </w:p>
    <w:p>
      <w:pPr>
        <w:spacing w:after="0" w:line="222"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4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As of</w:t>
            </w:r>
          </w:p>
        </w:tc>
      </w:tr>
      <w:tr>
        <w:trPr>
          <w:trHeight w:val="125"/>
        </w:trPr>
        <w:tc>
          <w:tcPr>
            <w:tcW w:w="4620" w:type="dxa"/>
            <w:vAlign w:val="bottom"/>
          </w:tcPr>
          <w:p>
            <w:pPr>
              <w:spacing w:after="0"/>
              <w:rPr>
                <w:sz w:val="10"/>
                <w:szCs w:val="10"/>
                <w:color w:val="auto"/>
              </w:rPr>
            </w:pPr>
          </w:p>
        </w:tc>
        <w:tc>
          <w:tcPr>
            <w:tcW w:w="1140" w:type="dxa"/>
            <w:vAlign w:val="bottom"/>
            <w:tcBorders>
              <w:top w:val="single" w:sz="8" w:color="auto"/>
            </w:tcBorders>
            <w:gridSpan w:val="2"/>
          </w:tcPr>
          <w:p>
            <w:pPr>
              <w:jc w:val="center"/>
              <w:ind w:right="140"/>
              <w:spacing w:after="0" w:line="125" w:lineRule="exact"/>
              <w:rPr>
                <w:sz w:val="20"/>
                <w:szCs w:val="20"/>
                <w:color w:val="auto"/>
              </w:rPr>
            </w:pPr>
            <w:r>
              <w:rPr>
                <w:rFonts w:ascii="Times New Roman" w:cs="Times New Roman" w:eastAsia="Times New Roman" w:hAnsi="Times New Roman"/>
                <w:sz w:val="13"/>
                <w:szCs w:val="13"/>
                <w:color w:val="auto"/>
                <w:w w:val="97"/>
              </w:rPr>
              <w:t>December 31, 2021</w:t>
            </w:r>
          </w:p>
        </w:tc>
        <w:tc>
          <w:tcPr>
            <w:tcW w:w="6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w w:val="95"/>
              </w:rPr>
              <w:t>December 31, 2022</w:t>
            </w:r>
          </w:p>
        </w:tc>
        <w:tc>
          <w:tcPr>
            <w:tcW w:w="40" w:type="dxa"/>
            <w:vAlign w:val="bottom"/>
          </w:tcPr>
          <w:p>
            <w:pPr>
              <w:spacing w:after="0"/>
              <w:rPr>
                <w:sz w:val="10"/>
                <w:szCs w:val="10"/>
                <w:color w:val="auto"/>
              </w:rPr>
            </w:pPr>
          </w:p>
        </w:tc>
      </w:tr>
      <w:tr>
        <w:trPr>
          <w:trHeight w:val="125"/>
        </w:trPr>
        <w:tc>
          <w:tcPr>
            <w:tcW w:w="4620" w:type="dxa"/>
            <w:vAlign w:val="bottom"/>
          </w:tcPr>
          <w:p>
            <w:pPr>
              <w:spacing w:after="0"/>
              <w:rPr>
                <w:sz w:val="10"/>
                <w:szCs w:val="10"/>
                <w:color w:val="auto"/>
              </w:rPr>
            </w:pPr>
          </w:p>
        </w:tc>
        <w:tc>
          <w:tcPr>
            <w:tcW w:w="10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Borders>
              <w:top w:val="single" w:sz="8" w:color="auto"/>
            </w:tcBorders>
          </w:tcPr>
          <w:p>
            <w:pPr>
              <w:jc w:val="right"/>
              <w:ind w:right="310"/>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40" w:type="dxa"/>
            <w:vAlign w:val="bottom"/>
          </w:tcPr>
          <w:p>
            <w:pPr>
              <w:spacing w:after="0"/>
              <w:rPr>
                <w:sz w:val="10"/>
                <w:szCs w:val="10"/>
                <w:color w:val="auto"/>
              </w:rPr>
            </w:pPr>
          </w:p>
        </w:tc>
      </w:tr>
      <w:tr>
        <w:trPr>
          <w:trHeight w:val="19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w:t>
            </w: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128</w:t>
            </w:r>
          </w:p>
        </w:tc>
        <w:tc>
          <w:tcPr>
            <w:tcW w:w="1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w:t>
            </w:r>
          </w:p>
        </w:tc>
      </w:tr>
      <w:tr>
        <w:trPr>
          <w:trHeight w:val="197"/>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Huibao Huipei</w:t>
            </w:r>
          </w:p>
        </w:tc>
        <w:tc>
          <w:tcPr>
            <w:tcW w:w="10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40" w:type="dxa"/>
            <w:vAlign w:val="bottom"/>
          </w:tcPr>
          <w:p>
            <w:pPr>
              <w:spacing w:after="0"/>
              <w:rPr>
                <w:sz w:val="17"/>
                <w:szCs w:val="17"/>
                <w:color w:val="auto"/>
              </w:rPr>
            </w:pPr>
          </w:p>
        </w:tc>
      </w:tr>
      <w:tr>
        <w:trPr>
          <w:trHeight w:val="193"/>
        </w:trPr>
        <w:tc>
          <w:tcPr>
            <w:tcW w:w="46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128</w:t>
            </w:r>
          </w:p>
        </w:tc>
        <w:tc>
          <w:tcPr>
            <w:tcW w:w="1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489</w:t>
            </w:r>
          </w:p>
        </w:tc>
      </w:tr>
      <w:tr>
        <w:trPr>
          <w:trHeight w:val="20"/>
        </w:trPr>
        <w:tc>
          <w:tcPr>
            <w:tcW w:w="4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The amount due from related parties represents the advance miscellaneous fees for shareholders and the receivable for consulting service provided to Huibao Huipei.</w:t>
      </w:r>
    </w:p>
    <w:p>
      <w:pPr>
        <w:spacing w:after="0" w:line="1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Amounts due to related parties:</w:t>
      </w:r>
    </w:p>
    <w:p>
      <w:pPr>
        <w:spacing w:after="0" w:line="222"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4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As of</w:t>
            </w:r>
          </w:p>
        </w:tc>
      </w:tr>
      <w:tr>
        <w:trPr>
          <w:trHeight w:val="125"/>
        </w:trPr>
        <w:tc>
          <w:tcPr>
            <w:tcW w:w="4640" w:type="dxa"/>
            <w:vAlign w:val="bottom"/>
          </w:tcPr>
          <w:p>
            <w:pPr>
              <w:spacing w:after="0"/>
              <w:rPr>
                <w:sz w:val="10"/>
                <w:szCs w:val="10"/>
                <w:color w:val="auto"/>
              </w:rPr>
            </w:pPr>
          </w:p>
        </w:tc>
        <w:tc>
          <w:tcPr>
            <w:tcW w:w="1140" w:type="dxa"/>
            <w:vAlign w:val="bottom"/>
            <w:tcBorders>
              <w:top w:val="single" w:sz="8" w:color="auto"/>
            </w:tcBorders>
            <w:gridSpan w:val="2"/>
          </w:tcPr>
          <w:p>
            <w:pPr>
              <w:jc w:val="center"/>
              <w:ind w:right="140"/>
              <w:spacing w:after="0" w:line="125" w:lineRule="exact"/>
              <w:rPr>
                <w:sz w:val="20"/>
                <w:szCs w:val="20"/>
                <w:color w:val="auto"/>
              </w:rPr>
            </w:pPr>
            <w:r>
              <w:rPr>
                <w:rFonts w:ascii="Times New Roman" w:cs="Times New Roman" w:eastAsia="Times New Roman" w:hAnsi="Times New Roman"/>
                <w:sz w:val="13"/>
                <w:szCs w:val="13"/>
                <w:color w:val="auto"/>
                <w:w w:val="97"/>
              </w:rPr>
              <w:t>December 31, 2021</w:t>
            </w:r>
          </w:p>
        </w:tc>
        <w:tc>
          <w:tcPr>
            <w:tcW w:w="6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7"/>
              </w:rPr>
              <w:t>December 31, 2022</w:t>
            </w:r>
          </w:p>
        </w:tc>
        <w:tc>
          <w:tcPr>
            <w:tcW w:w="40" w:type="dxa"/>
            <w:vAlign w:val="bottom"/>
          </w:tcPr>
          <w:p>
            <w:pPr>
              <w:spacing w:after="0"/>
              <w:rPr>
                <w:sz w:val="10"/>
                <w:szCs w:val="10"/>
                <w:color w:val="auto"/>
              </w:rPr>
            </w:pPr>
          </w:p>
        </w:tc>
      </w:tr>
      <w:tr>
        <w:trPr>
          <w:trHeight w:val="125"/>
        </w:trPr>
        <w:tc>
          <w:tcPr>
            <w:tcW w:w="4640" w:type="dxa"/>
            <w:vAlign w:val="bottom"/>
          </w:tcPr>
          <w:p>
            <w:pPr>
              <w:spacing w:after="0"/>
              <w:rPr>
                <w:sz w:val="10"/>
                <w:szCs w:val="10"/>
                <w:color w:val="auto"/>
              </w:rPr>
            </w:pPr>
          </w:p>
        </w:tc>
        <w:tc>
          <w:tcPr>
            <w:tcW w:w="10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40" w:type="dxa"/>
            <w:vAlign w:val="bottom"/>
          </w:tcPr>
          <w:p>
            <w:pPr>
              <w:spacing w:after="0"/>
              <w:rPr>
                <w:sz w:val="10"/>
                <w:szCs w:val="10"/>
                <w:color w:val="auto"/>
              </w:rPr>
            </w:pPr>
          </w:p>
        </w:tc>
      </w:tr>
      <w:tr>
        <w:trPr>
          <w:trHeight w:val="19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Xiaoke</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11,753</w:t>
            </w:r>
          </w:p>
        </w:tc>
        <w:tc>
          <w:tcPr>
            <w:tcW w:w="170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495</w:t>
            </w:r>
          </w:p>
        </w:tc>
      </w:tr>
      <w:tr>
        <w:trPr>
          <w:trHeight w:val="193"/>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122</w:t>
            </w:r>
          </w:p>
        </w:tc>
        <w:tc>
          <w:tcPr>
            <w:tcW w:w="64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r>
      <w:tr>
        <w:trPr>
          <w:trHeight w:val="24"/>
        </w:trPr>
        <w:tc>
          <w:tcPr>
            <w:tcW w:w="46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46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11,875</w:t>
            </w:r>
          </w:p>
        </w:tc>
        <w:tc>
          <w:tcPr>
            <w:tcW w:w="170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495</w:t>
            </w:r>
          </w:p>
        </w:tc>
      </w:tr>
      <w:tr>
        <w:trPr>
          <w:trHeight w:val="20"/>
        </w:trPr>
        <w:tc>
          <w:tcPr>
            <w:tcW w:w="4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jc w:val="right"/>
        <w:ind w:right="4720"/>
        <w:spacing w:after="0"/>
        <w:rPr>
          <w:sz w:val="20"/>
          <w:szCs w:val="20"/>
          <w:color w:val="auto"/>
        </w:rPr>
      </w:pPr>
      <w:r>
        <w:rPr>
          <w:rFonts w:ascii="Times New Roman" w:cs="Times New Roman" w:eastAsia="Times New Roman" w:hAnsi="Times New Roman"/>
          <w:sz w:val="16"/>
          <w:szCs w:val="16"/>
          <w:color w:val="auto"/>
        </w:rPr>
        <w:t>The amount due to Xiaoke represents the payable for technology service.</w:t>
      </w:r>
    </w:p>
    <w:p>
      <w:pPr>
        <w:spacing w:after="0" w:line="141" w:lineRule="exact"/>
        <w:rPr>
          <w:sz w:val="20"/>
          <w:szCs w:val="20"/>
          <w:color w:val="auto"/>
        </w:rPr>
      </w:pPr>
    </w:p>
    <w:p>
      <w:pPr>
        <w:jc w:val="right"/>
        <w:ind w:right="4740"/>
        <w:spacing w:after="0"/>
        <w:rPr>
          <w:sz w:val="20"/>
          <w:szCs w:val="20"/>
          <w:color w:val="auto"/>
        </w:rPr>
      </w:pPr>
      <w:r>
        <w:rPr>
          <w:rFonts w:ascii="Times New Roman" w:cs="Times New Roman" w:eastAsia="Times New Roman" w:hAnsi="Times New Roman"/>
          <w:sz w:val="16"/>
          <w:szCs w:val="16"/>
          <w:color w:val="auto"/>
        </w:rPr>
        <w:t>F-42</w:t>
      </w:r>
    </w:p>
    <w:p>
      <w:pPr>
        <w:sectPr>
          <w:pgSz w:w="11900" w:h="16838" w:orient="portrait"/>
          <w:cols w:equalWidth="0" w:num="1">
            <w:col w:w="10520"/>
          </w:cols>
          <w:pgMar w:left="320" w:top="447" w:right="10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6. Prepaid expenses and other receivables and other assets</w:t>
      </w:r>
    </w:p>
    <w:p>
      <w:pPr>
        <w:spacing w:after="0" w:line="107"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Prepaid expenses and other receivables and other assets consist of the following, with current portion presented as prepaid expenses and other receivables and non-current portion presented as other assets:</w:t>
      </w:r>
    </w:p>
    <w:p>
      <w:pPr>
        <w:spacing w:after="0" w:line="164"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4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As of</w:t>
            </w:r>
          </w:p>
        </w:tc>
      </w:tr>
      <w:tr>
        <w:trPr>
          <w:trHeight w:val="125"/>
        </w:trPr>
        <w:tc>
          <w:tcPr>
            <w:tcW w:w="4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Borders>
              <w:top w:val="single" w:sz="8" w:color="auto"/>
            </w:tcBorders>
            <w:gridSpan w:val="3"/>
          </w:tcPr>
          <w:p>
            <w:pPr>
              <w:jc w:val="right"/>
              <w:ind w:right="120"/>
              <w:spacing w:after="0" w:line="125" w:lineRule="exact"/>
              <w:rPr>
                <w:sz w:val="20"/>
                <w:szCs w:val="20"/>
                <w:color w:val="auto"/>
              </w:rPr>
            </w:pPr>
            <w:r>
              <w:rPr>
                <w:rFonts w:ascii="Times New Roman" w:cs="Times New Roman" w:eastAsia="Times New Roman" w:hAnsi="Times New Roman"/>
                <w:sz w:val="13"/>
                <w:szCs w:val="13"/>
                <w:color w:val="auto"/>
                <w:w w:val="97"/>
              </w:rPr>
              <w:t>December 31, 2021</w:t>
            </w:r>
          </w:p>
        </w:tc>
        <w:tc>
          <w:tcPr>
            <w:tcW w:w="6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3"/>
              </w:rPr>
              <w:t>December 31, 2022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4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Borders>
              <w:top w:val="single" w:sz="8" w:color="auto"/>
            </w:tcBorders>
            <w:gridSpan w:val="2"/>
          </w:tcPr>
          <w:p>
            <w:pPr>
              <w:jc w:val="right"/>
              <w:ind w:right="380"/>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9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w:t>
            </w:r>
          </w:p>
        </w:tc>
        <w:tc>
          <w:tcPr>
            <w:tcW w:w="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Prepaid input value-added tax</w:t>
            </w: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43,817</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32,083</w:t>
            </w:r>
          </w:p>
        </w:tc>
        <w:tc>
          <w:tcPr>
            <w:tcW w:w="40" w:type="dxa"/>
            <w:vAlign w:val="bottom"/>
          </w:tcPr>
          <w:p>
            <w:pPr>
              <w:spacing w:after="0"/>
              <w:rPr>
                <w:sz w:val="16"/>
                <w:szCs w:val="16"/>
                <w:color w:val="auto"/>
              </w:rPr>
            </w:pPr>
          </w:p>
        </w:tc>
      </w:tr>
      <w:tr>
        <w:trPr>
          <w:trHeight w:val="19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VAT refund receivable</w:t>
            </w: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w:t>
            </w: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4,827</w:t>
            </w:r>
          </w:p>
        </w:tc>
        <w:tc>
          <w:tcPr>
            <w:tcW w:w="40" w:type="dxa"/>
            <w:vAlign w:val="bottom"/>
            <w:shd w:val="clear" w:color="auto" w:fill="CCEEFF"/>
          </w:tcPr>
          <w:p>
            <w:pPr>
              <w:spacing w:after="0"/>
              <w:rPr>
                <w:sz w:val="16"/>
                <w:szCs w:val="16"/>
                <w:color w:val="auto"/>
              </w:rPr>
            </w:pPr>
          </w:p>
        </w:tc>
      </w:tr>
      <w:tr>
        <w:trPr>
          <w:trHeight w:val="19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Rental and other deposits</w:t>
            </w: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14,532</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9,609</w:t>
            </w:r>
          </w:p>
        </w:tc>
        <w:tc>
          <w:tcPr>
            <w:tcW w:w="40" w:type="dxa"/>
            <w:vAlign w:val="bottom"/>
          </w:tcPr>
          <w:p>
            <w:pPr>
              <w:spacing w:after="0"/>
              <w:rPr>
                <w:sz w:val="16"/>
                <w:szCs w:val="16"/>
                <w:color w:val="auto"/>
              </w:rPr>
            </w:pPr>
          </w:p>
        </w:tc>
      </w:tr>
      <w:tr>
        <w:trPr>
          <w:trHeight w:val="19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Advances to suppliers</w:t>
            </w: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13,731</w:t>
            </w: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10,230</w:t>
            </w:r>
          </w:p>
        </w:tc>
        <w:tc>
          <w:tcPr>
            <w:tcW w:w="40" w:type="dxa"/>
            <w:vAlign w:val="bottom"/>
            <w:shd w:val="clear" w:color="auto" w:fill="CCEEFF"/>
          </w:tcPr>
          <w:p>
            <w:pPr>
              <w:spacing w:after="0"/>
              <w:rPr>
                <w:sz w:val="16"/>
                <w:szCs w:val="16"/>
                <w:color w:val="auto"/>
              </w:rPr>
            </w:pPr>
          </w:p>
        </w:tc>
      </w:tr>
      <w:tr>
        <w:trPr>
          <w:trHeight w:val="19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Interest receivables (a)</w:t>
            </w: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2,177</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2,467</w:t>
            </w:r>
          </w:p>
        </w:tc>
        <w:tc>
          <w:tcPr>
            <w:tcW w:w="40" w:type="dxa"/>
            <w:vAlign w:val="bottom"/>
          </w:tcPr>
          <w:p>
            <w:pPr>
              <w:spacing w:after="0"/>
              <w:rPr>
                <w:sz w:val="16"/>
                <w:szCs w:val="16"/>
                <w:color w:val="auto"/>
              </w:rPr>
            </w:pPr>
          </w:p>
        </w:tc>
      </w:tr>
      <w:tr>
        <w:trPr>
          <w:trHeight w:val="19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Advances to staff (b)</w:t>
            </w: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970</w:t>
            </w: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397</w:t>
            </w:r>
          </w:p>
        </w:tc>
        <w:tc>
          <w:tcPr>
            <w:tcW w:w="40" w:type="dxa"/>
            <w:vAlign w:val="bottom"/>
            <w:shd w:val="clear" w:color="auto" w:fill="CCEEFF"/>
          </w:tcPr>
          <w:p>
            <w:pPr>
              <w:spacing w:after="0"/>
              <w:rPr>
                <w:sz w:val="16"/>
                <w:szCs w:val="16"/>
                <w:color w:val="auto"/>
              </w:rPr>
            </w:pPr>
          </w:p>
        </w:tc>
      </w:tr>
      <w:tr>
        <w:trPr>
          <w:trHeight w:val="19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Directors and officers liability insurance premium</w:t>
            </w: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658</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658</w:t>
            </w:r>
          </w:p>
        </w:tc>
        <w:tc>
          <w:tcPr>
            <w:tcW w:w="40" w:type="dxa"/>
            <w:vAlign w:val="bottom"/>
          </w:tcPr>
          <w:p>
            <w:pPr>
              <w:spacing w:after="0"/>
              <w:rPr>
                <w:sz w:val="16"/>
                <w:szCs w:val="16"/>
                <w:color w:val="auto"/>
              </w:rPr>
            </w:pPr>
          </w:p>
        </w:tc>
      </w:tr>
      <w:tr>
        <w:trPr>
          <w:trHeight w:val="19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Claim advance on behalf of insurer</w:t>
            </w:r>
          </w:p>
        </w:tc>
        <w:tc>
          <w:tcPr>
            <w:tcW w:w="10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Prepayment for share repurchase</w:t>
            </w:r>
          </w:p>
        </w:tc>
        <w:tc>
          <w:tcPr>
            <w:tcW w:w="40" w:type="dxa"/>
            <w:vAlign w:val="bottom"/>
          </w:tcPr>
          <w:p>
            <w:pPr>
              <w:spacing w:after="0"/>
              <w:rPr>
                <w:sz w:val="16"/>
                <w:szCs w:val="16"/>
                <w:color w:val="auto"/>
              </w:rPr>
            </w:pPr>
          </w:p>
        </w:tc>
        <w:tc>
          <w:tcPr>
            <w:tcW w:w="1140" w:type="dxa"/>
            <w:vAlign w:val="bottom"/>
            <w:gridSpan w:val="3"/>
          </w:tcPr>
          <w:p>
            <w:pPr>
              <w:jc w:val="center"/>
              <w:ind w:left="505"/>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898</w:t>
            </w:r>
          </w:p>
        </w:tc>
        <w:tc>
          <w:tcPr>
            <w:tcW w:w="40" w:type="dxa"/>
            <w:vAlign w:val="bottom"/>
          </w:tcPr>
          <w:p>
            <w:pPr>
              <w:spacing w:after="0"/>
              <w:rPr>
                <w:sz w:val="16"/>
                <w:szCs w:val="16"/>
                <w:color w:val="auto"/>
              </w:rPr>
            </w:pPr>
          </w:p>
        </w:tc>
      </w:tr>
      <w:tr>
        <w:trPr>
          <w:trHeight w:val="19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Advances to a third party (c)</w:t>
            </w:r>
          </w:p>
        </w:tc>
        <w:tc>
          <w:tcPr>
            <w:tcW w:w="4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center"/>
              <w:ind w:left="505"/>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10,000</w:t>
            </w:r>
          </w:p>
        </w:tc>
        <w:tc>
          <w:tcPr>
            <w:tcW w:w="40" w:type="dxa"/>
            <w:vAlign w:val="bottom"/>
            <w:shd w:val="clear" w:color="auto" w:fill="CCEEFF"/>
          </w:tcPr>
          <w:p>
            <w:pPr>
              <w:spacing w:after="0"/>
              <w:rPr>
                <w:sz w:val="16"/>
                <w:szCs w:val="16"/>
                <w:color w:val="auto"/>
              </w:rPr>
            </w:pPr>
          </w:p>
        </w:tc>
      </w:tr>
      <w:tr>
        <w:trPr>
          <w:trHeight w:val="19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1,596</w:t>
            </w:r>
          </w:p>
        </w:tc>
        <w:tc>
          <w:tcPr>
            <w:tcW w:w="40" w:type="dxa"/>
            <w:vAlign w:val="bottom"/>
          </w:tcPr>
          <w:p>
            <w:pPr>
              <w:spacing w:after="0"/>
              <w:rPr>
                <w:sz w:val="16"/>
                <w:szCs w:val="16"/>
                <w:color w:val="auto"/>
              </w:rPr>
            </w:pPr>
          </w:p>
        </w:tc>
      </w:tr>
      <w:tr>
        <w:trPr>
          <w:trHeight w:val="24"/>
        </w:trPr>
        <w:tc>
          <w:tcPr>
            <w:tcW w:w="46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4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78,101</w:t>
            </w:r>
          </w:p>
        </w:tc>
        <w:tc>
          <w:tcPr>
            <w:tcW w:w="12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72,818</w:t>
            </w:r>
          </w:p>
        </w:tc>
        <w:tc>
          <w:tcPr>
            <w:tcW w:w="40" w:type="dxa"/>
            <w:vAlign w:val="bottom"/>
            <w:shd w:val="clear" w:color="auto" w:fill="CCEEFF"/>
          </w:tcPr>
          <w:p>
            <w:pPr>
              <w:spacing w:after="0"/>
              <w:rPr>
                <w:sz w:val="16"/>
                <w:szCs w:val="16"/>
                <w:color w:val="auto"/>
              </w:rPr>
            </w:pPr>
          </w:p>
        </w:tc>
      </w:tr>
      <w:tr>
        <w:trPr>
          <w:trHeight w:val="19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Less: Allowance for impairment</w:t>
            </w:r>
          </w:p>
        </w:tc>
        <w:tc>
          <w:tcPr>
            <w:tcW w:w="40" w:type="dxa"/>
            <w:vAlign w:val="bottom"/>
          </w:tcPr>
          <w:p>
            <w:pPr>
              <w:spacing w:after="0"/>
              <w:rPr>
                <w:sz w:val="16"/>
                <w:szCs w:val="16"/>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(590)</w:t>
            </w:r>
          </w:p>
        </w:tc>
        <w:tc>
          <w:tcPr>
            <w:tcW w:w="168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r>
      <w:tr>
        <w:trPr>
          <w:trHeight w:val="24"/>
        </w:trPr>
        <w:tc>
          <w:tcPr>
            <w:tcW w:w="46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4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77,511</w:t>
            </w:r>
          </w:p>
        </w:tc>
        <w:tc>
          <w:tcPr>
            <w:tcW w:w="12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71,818</w:t>
            </w:r>
          </w:p>
        </w:tc>
        <w:tc>
          <w:tcPr>
            <w:tcW w:w="40" w:type="dxa"/>
            <w:vAlign w:val="bottom"/>
            <w:shd w:val="clear" w:color="auto" w:fill="CCEEFF"/>
          </w:tcPr>
          <w:p>
            <w:pPr>
              <w:spacing w:after="0"/>
              <w:rPr>
                <w:sz w:val="16"/>
                <w:szCs w:val="16"/>
                <w:color w:val="auto"/>
              </w:rPr>
            </w:pPr>
          </w:p>
        </w:tc>
      </w:tr>
      <w:tr>
        <w:trPr>
          <w:trHeight w:val="20"/>
        </w:trPr>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8"/>
        </w:trPr>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As of</w:t>
            </w:r>
          </w:p>
        </w:tc>
      </w:tr>
      <w:tr>
        <w:trPr>
          <w:trHeight w:val="125"/>
        </w:trPr>
        <w:tc>
          <w:tcPr>
            <w:tcW w:w="4620" w:type="dxa"/>
            <w:vAlign w:val="bottom"/>
          </w:tcPr>
          <w:p>
            <w:pPr>
              <w:spacing w:after="0"/>
              <w:rPr>
                <w:sz w:val="10"/>
                <w:szCs w:val="10"/>
                <w:color w:val="auto"/>
              </w:rPr>
            </w:pPr>
          </w:p>
        </w:tc>
        <w:tc>
          <w:tcPr>
            <w:tcW w:w="1180" w:type="dxa"/>
            <w:vAlign w:val="bottom"/>
            <w:tcBorders>
              <w:top w:val="single" w:sz="8" w:color="auto"/>
            </w:tcBorders>
            <w:gridSpan w:val="4"/>
          </w:tcPr>
          <w:p>
            <w:pPr>
              <w:jc w:val="right"/>
              <w:ind w:right="160"/>
              <w:spacing w:after="0" w:line="125" w:lineRule="exact"/>
              <w:rPr>
                <w:sz w:val="20"/>
                <w:szCs w:val="20"/>
                <w:color w:val="auto"/>
              </w:rPr>
            </w:pPr>
            <w:r>
              <w:rPr>
                <w:rFonts w:ascii="Times New Roman" w:cs="Times New Roman" w:eastAsia="Times New Roman" w:hAnsi="Times New Roman"/>
                <w:sz w:val="13"/>
                <w:szCs w:val="13"/>
                <w:color w:val="auto"/>
                <w:w w:val="97"/>
              </w:rPr>
              <w:t>December 31, 2021</w:t>
            </w:r>
          </w:p>
        </w:tc>
        <w:tc>
          <w:tcPr>
            <w:tcW w:w="6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20"/>
              <w:spacing w:after="0" w:line="125" w:lineRule="exact"/>
              <w:rPr>
                <w:sz w:val="20"/>
                <w:szCs w:val="20"/>
                <w:color w:val="auto"/>
              </w:rPr>
            </w:pPr>
            <w:r>
              <w:rPr>
                <w:rFonts w:ascii="Times New Roman" w:cs="Times New Roman" w:eastAsia="Times New Roman" w:hAnsi="Times New Roman"/>
                <w:sz w:val="13"/>
                <w:szCs w:val="13"/>
                <w:color w:val="auto"/>
                <w:w w:val="95"/>
              </w:rPr>
              <w:t>December 31, 2022</w:t>
            </w:r>
          </w:p>
        </w:tc>
        <w:tc>
          <w:tcPr>
            <w:tcW w:w="40" w:type="dxa"/>
            <w:vAlign w:val="bottom"/>
          </w:tcPr>
          <w:p>
            <w:pPr>
              <w:spacing w:after="0"/>
              <w:rPr>
                <w:sz w:val="10"/>
                <w:szCs w:val="10"/>
                <w:color w:val="auto"/>
              </w:rPr>
            </w:pPr>
          </w:p>
        </w:tc>
      </w:tr>
      <w:tr>
        <w:trPr>
          <w:trHeight w:val="125"/>
        </w:trPr>
        <w:tc>
          <w:tcPr>
            <w:tcW w:w="46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85"/>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6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Borders>
              <w:top w:val="single" w:sz="8" w:color="auto"/>
            </w:tcBorders>
            <w:gridSpan w:val="2"/>
          </w:tcPr>
          <w:p>
            <w:pPr>
              <w:jc w:val="right"/>
              <w:ind w:right="380"/>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40" w:type="dxa"/>
            <w:vAlign w:val="bottom"/>
          </w:tcPr>
          <w:p>
            <w:pPr>
              <w:spacing w:after="0"/>
              <w:rPr>
                <w:sz w:val="10"/>
                <w:szCs w:val="10"/>
                <w:color w:val="auto"/>
              </w:rPr>
            </w:pPr>
          </w:p>
        </w:tc>
      </w:tr>
      <w:tr>
        <w:trPr>
          <w:trHeight w:val="19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portion:</w:t>
            </w:r>
          </w:p>
        </w:tc>
        <w:tc>
          <w:tcPr>
            <w:tcW w:w="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Prepayment related to investment</w:t>
            </w:r>
          </w:p>
        </w:tc>
        <w:tc>
          <w:tcPr>
            <w:tcW w:w="1060" w:type="dxa"/>
            <w:vAlign w:val="bottom"/>
            <w:gridSpan w:val="3"/>
          </w:tcPr>
          <w:p>
            <w:pPr>
              <w:jc w:val="center"/>
              <w:ind w:left="661"/>
              <w:spacing w:after="0"/>
              <w:rPr>
                <w:sz w:val="20"/>
                <w:szCs w:val="20"/>
                <w:color w:val="auto"/>
              </w:rPr>
            </w:pPr>
            <w:r>
              <w:rPr>
                <w:rFonts w:ascii="Times New Roman" w:cs="Times New Roman" w:eastAsia="Times New Roman" w:hAnsi="Times New Roman"/>
                <w:sz w:val="16"/>
                <w:szCs w:val="16"/>
                <w:color w:val="auto"/>
                <w:w w:val="99"/>
              </w:rPr>
              <w:t>200</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Advances to long-term assets</w:t>
            </w:r>
          </w:p>
        </w:tc>
        <w:tc>
          <w:tcPr>
            <w:tcW w:w="1060" w:type="dxa"/>
            <w:vAlign w:val="bottom"/>
            <w:tcBorders>
              <w:right w:val="single" w:sz="8" w:color="CCEEFF"/>
            </w:tcBorders>
            <w:gridSpan w:val="3"/>
            <w:shd w:val="clear" w:color="auto" w:fill="CCEEFF"/>
          </w:tcPr>
          <w:p>
            <w:pPr>
              <w:jc w:val="center"/>
              <w:ind w:left="661"/>
              <w:spacing w:after="0"/>
              <w:rPr>
                <w:sz w:val="20"/>
                <w:szCs w:val="20"/>
                <w:color w:val="auto"/>
              </w:rPr>
            </w:pPr>
            <w:r>
              <w:rPr>
                <w:rFonts w:ascii="Times New Roman" w:cs="Times New Roman" w:eastAsia="Times New Roman" w:hAnsi="Times New Roman"/>
                <w:sz w:val="16"/>
                <w:szCs w:val="16"/>
                <w:color w:val="auto"/>
                <w:w w:val="99"/>
              </w:rPr>
              <w:t>179</w:t>
            </w:r>
          </w:p>
        </w:tc>
        <w:tc>
          <w:tcPr>
            <w:tcW w:w="120" w:type="dxa"/>
            <w:vAlign w:val="bottom"/>
            <w:shd w:val="clear" w:color="auto" w:fill="CCEEFF"/>
          </w:tcPr>
          <w:p>
            <w:pPr>
              <w:spacing w:after="0"/>
              <w:rPr>
                <w:sz w:val="16"/>
                <w:szCs w:val="16"/>
                <w:color w:val="auto"/>
              </w:rPr>
            </w:pPr>
          </w:p>
        </w:tc>
        <w:tc>
          <w:tcPr>
            <w:tcW w:w="1680" w:type="dxa"/>
            <w:vAlign w:val="bottom"/>
            <w:gridSpan w:val="4"/>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279</w:t>
            </w:r>
          </w:p>
        </w:tc>
      </w:tr>
      <w:tr>
        <w:trPr>
          <w:trHeight w:val="197"/>
        </w:trPr>
        <w:tc>
          <w:tcPr>
            <w:tcW w:w="4620" w:type="dxa"/>
            <w:vAlign w:val="bottom"/>
          </w:tcPr>
          <w:p>
            <w:pPr>
              <w:spacing w:after="0"/>
              <w:rPr>
                <w:sz w:val="17"/>
                <w:szCs w:val="17"/>
                <w:color w:val="auto"/>
              </w:rPr>
            </w:pPr>
          </w:p>
        </w:tc>
        <w:tc>
          <w:tcPr>
            <w:tcW w:w="1020" w:type="dxa"/>
            <w:vAlign w:val="bottom"/>
            <w:tcBorders>
              <w:top w:val="single" w:sz="8" w:color="auto"/>
              <w:bottom w:val="single" w:sz="8" w:color="auto"/>
            </w:tcBorders>
            <w:gridSpan w:val="2"/>
          </w:tcPr>
          <w:p>
            <w:pPr>
              <w:jc w:val="center"/>
              <w:ind w:left="701"/>
              <w:spacing w:after="0"/>
              <w:rPr>
                <w:sz w:val="20"/>
                <w:szCs w:val="20"/>
                <w:color w:val="auto"/>
              </w:rPr>
            </w:pPr>
            <w:r>
              <w:rPr>
                <w:rFonts w:ascii="Times New Roman" w:cs="Times New Roman" w:eastAsia="Times New Roman" w:hAnsi="Times New Roman"/>
                <w:sz w:val="16"/>
                <w:szCs w:val="16"/>
                <w:color w:val="auto"/>
                <w:w w:val="99"/>
              </w:rPr>
              <w:t>379</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Borders>
              <w:top w:val="single" w:sz="8" w:color="auto"/>
              <w:bottom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color w:val="auto"/>
                <w:w w:val="91"/>
              </w:rPr>
              <w:t>279</w:t>
            </w:r>
          </w:p>
        </w:tc>
        <w:tc>
          <w:tcPr>
            <w:tcW w:w="40" w:type="dxa"/>
            <w:vAlign w:val="bottom"/>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2" w:lineRule="exact"/>
        <w:rPr>
          <w:sz w:val="20"/>
          <w:szCs w:val="20"/>
          <w:color w:val="auto"/>
        </w:rPr>
      </w:pPr>
    </w:p>
    <w:p>
      <w:pPr>
        <w:ind w:left="1100" w:hanging="393"/>
        <w:spacing w:after="0"/>
        <w:tabs>
          <w:tab w:leader="none" w:pos="110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represented accrued interest income on bank deposits.</w:t>
      </w:r>
    </w:p>
    <w:p>
      <w:pPr>
        <w:spacing w:after="0" w:line="25" w:lineRule="exact"/>
        <w:rPr>
          <w:rFonts w:ascii="Times New Roman" w:cs="Times New Roman" w:eastAsia="Times New Roman" w:hAnsi="Times New Roman"/>
          <w:sz w:val="16"/>
          <w:szCs w:val="16"/>
          <w:color w:val="auto"/>
        </w:rPr>
      </w:pPr>
    </w:p>
    <w:p>
      <w:pPr>
        <w:ind w:left="1100" w:hanging="393"/>
        <w:spacing w:after="0"/>
        <w:tabs>
          <w:tab w:leader="none" w:pos="110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represented advances to staff of the Group for daily business operations which are unsecured, interest-free and repayable on demand.</w:t>
      </w:r>
    </w:p>
    <w:p>
      <w:pPr>
        <w:spacing w:after="0" w:line="8" w:lineRule="exact"/>
        <w:rPr>
          <w:rFonts w:ascii="Times New Roman" w:cs="Times New Roman" w:eastAsia="Times New Roman" w:hAnsi="Times New Roman"/>
          <w:sz w:val="16"/>
          <w:szCs w:val="16"/>
          <w:color w:val="auto"/>
        </w:rPr>
      </w:pPr>
    </w:p>
    <w:p>
      <w:pPr>
        <w:ind w:left="1100" w:hanging="393"/>
        <w:spacing w:after="0"/>
        <w:tabs>
          <w:tab w:leader="none" w:pos="110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represent advances to a third party which are interest-bearing at a fixed interest rate of 5% per annum.</w:t>
      </w:r>
    </w:p>
    <w:p>
      <w:pPr>
        <w:spacing w:after="0" w:line="1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F-43</w:t>
      </w:r>
    </w:p>
    <w:p>
      <w:pPr>
        <w:sectPr>
          <w:pgSz w:w="11900" w:h="16838" w:orient="portrait"/>
          <w:cols w:equalWidth="0" w:num="1">
            <w:col w:w="10220"/>
          </w:cols>
          <w:pgMar w:left="320" w:top="447" w:right="13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7. Property, Plant and Equipment, net</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Property, plant and equipment, net, consist of the following:</w:t>
      </w:r>
    </w:p>
    <w:p>
      <w:pPr>
        <w:spacing w:after="0" w:line="222"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4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jc w:val="right"/>
              <w:ind w:right="1300"/>
              <w:spacing w:after="0"/>
              <w:rPr>
                <w:sz w:val="20"/>
                <w:szCs w:val="20"/>
                <w:color w:val="auto"/>
              </w:rPr>
            </w:pPr>
            <w:r>
              <w:rPr>
                <w:rFonts w:ascii="Times New Roman" w:cs="Times New Roman" w:eastAsia="Times New Roman" w:hAnsi="Times New Roman"/>
                <w:sz w:val="13"/>
                <w:szCs w:val="13"/>
                <w:color w:val="auto"/>
              </w:rPr>
              <w:t>As of</w:t>
            </w:r>
          </w:p>
        </w:tc>
      </w:tr>
      <w:tr>
        <w:trPr>
          <w:trHeight w:val="125"/>
        </w:trPr>
        <w:tc>
          <w:tcPr>
            <w:tcW w:w="4700" w:type="dxa"/>
            <w:vAlign w:val="bottom"/>
          </w:tcPr>
          <w:p>
            <w:pPr>
              <w:spacing w:after="0"/>
              <w:rPr>
                <w:sz w:val="10"/>
                <w:szCs w:val="10"/>
                <w:color w:val="auto"/>
              </w:rPr>
            </w:pPr>
          </w:p>
        </w:tc>
        <w:tc>
          <w:tcPr>
            <w:tcW w:w="1140" w:type="dxa"/>
            <w:vAlign w:val="bottom"/>
            <w:tcBorders>
              <w:top w:val="single" w:sz="8" w:color="auto"/>
            </w:tcBorders>
            <w:gridSpan w:val="2"/>
          </w:tcPr>
          <w:p>
            <w:pPr>
              <w:jc w:val="center"/>
              <w:ind w:right="120"/>
              <w:spacing w:after="0" w:line="125" w:lineRule="exact"/>
              <w:rPr>
                <w:sz w:val="20"/>
                <w:szCs w:val="20"/>
                <w:color w:val="auto"/>
              </w:rPr>
            </w:pPr>
            <w:r>
              <w:rPr>
                <w:rFonts w:ascii="Times New Roman" w:cs="Times New Roman" w:eastAsia="Times New Roman" w:hAnsi="Times New Roman"/>
                <w:sz w:val="13"/>
                <w:szCs w:val="13"/>
                <w:color w:val="auto"/>
                <w:w w:val="99"/>
              </w:rPr>
              <w:t>December 31, 2021</w:t>
            </w:r>
          </w:p>
        </w:tc>
        <w:tc>
          <w:tcPr>
            <w:tcW w:w="5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7"/>
              </w:rPr>
              <w:t>December 31, 2022</w:t>
            </w:r>
          </w:p>
        </w:tc>
        <w:tc>
          <w:tcPr>
            <w:tcW w:w="100" w:type="dxa"/>
            <w:vAlign w:val="bottom"/>
          </w:tcPr>
          <w:p>
            <w:pPr>
              <w:spacing w:after="0"/>
              <w:rPr>
                <w:sz w:val="10"/>
                <w:szCs w:val="10"/>
                <w:color w:val="auto"/>
              </w:rPr>
            </w:pPr>
          </w:p>
        </w:tc>
      </w:tr>
      <w:tr>
        <w:trPr>
          <w:trHeight w:val="125"/>
        </w:trPr>
        <w:tc>
          <w:tcPr>
            <w:tcW w:w="4700" w:type="dxa"/>
            <w:vAlign w:val="bottom"/>
          </w:tcPr>
          <w:p>
            <w:pPr>
              <w:spacing w:after="0"/>
              <w:rPr>
                <w:sz w:val="10"/>
                <w:szCs w:val="10"/>
                <w:color w:val="auto"/>
              </w:rPr>
            </w:pPr>
          </w:p>
        </w:tc>
        <w:tc>
          <w:tcPr>
            <w:tcW w:w="10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100" w:type="dxa"/>
            <w:vAlign w:val="bottom"/>
          </w:tcPr>
          <w:p>
            <w:pPr>
              <w:spacing w:after="0"/>
              <w:rPr>
                <w:sz w:val="10"/>
                <w:szCs w:val="10"/>
                <w:color w:val="auto"/>
              </w:rPr>
            </w:pPr>
          </w:p>
        </w:tc>
      </w:tr>
      <w:tr>
        <w:trPr>
          <w:trHeight w:val="19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and electronic equipment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31,041</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27,439</w:t>
            </w:r>
          </w:p>
        </w:tc>
      </w:tr>
      <w:tr>
        <w:trPr>
          <w:trHeight w:val="19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27,238</w:t>
            </w: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28,124</w:t>
            </w:r>
          </w:p>
        </w:tc>
      </w:tr>
      <w:tr>
        <w:trPr>
          <w:trHeight w:val="19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10,755</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10,330</w:t>
            </w:r>
          </w:p>
        </w:tc>
      </w:tr>
      <w:tr>
        <w:trPr>
          <w:trHeight w:val="19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Motor vehicles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2,443</w:t>
            </w: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2,448</w:t>
            </w:r>
          </w:p>
        </w:tc>
      </w:tr>
      <w:tr>
        <w:trPr>
          <w:trHeight w:val="24"/>
        </w:trPr>
        <w:tc>
          <w:tcPr>
            <w:tcW w:w="47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71,477</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68,341</w:t>
            </w:r>
          </w:p>
        </w:tc>
      </w:tr>
      <w:tr>
        <w:trPr>
          <w:trHeight w:val="19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 (1)</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(23,016)</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(29,823)</w:t>
            </w:r>
          </w:p>
        </w:tc>
      </w:tr>
      <w:tr>
        <w:trPr>
          <w:trHeight w:val="24"/>
        </w:trPr>
        <w:tc>
          <w:tcPr>
            <w:tcW w:w="47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equipment and equipment, net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48,461</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38,518</w:t>
            </w:r>
          </w:p>
        </w:tc>
      </w:tr>
      <w:tr>
        <w:trPr>
          <w:trHeight w:val="20"/>
        </w:trPr>
        <w:tc>
          <w:tcPr>
            <w:tcW w:w="4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ind w:left="1100" w:right="360" w:hanging="393"/>
        <w:spacing w:after="0" w:line="535" w:lineRule="auto"/>
        <w:tabs>
          <w:tab w:leader="none" w:pos="1092"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expenses for the years ended December 31, 2020, 2021 and 2022 were RMB4,684, RMB6,474 and RMB17,319, respectively. No impairment for property, plant and equipment was recorded for the years ended December 31, 2020, 2021 and 2022.</w:t>
      </w:r>
    </w:p>
    <w:p>
      <w:pPr>
        <w:spacing w:after="0" w:line="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8. Intangible assets, net</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intangible assets, net consisted of the following:</w:t>
      </w:r>
    </w:p>
    <w:p>
      <w:pPr>
        <w:spacing w:after="0" w:line="222"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4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3"/>
          </w:tcPr>
          <w:p>
            <w:pPr>
              <w:jc w:val="right"/>
              <w:ind w:right="1320"/>
              <w:spacing w:after="0"/>
              <w:rPr>
                <w:sz w:val="20"/>
                <w:szCs w:val="20"/>
                <w:color w:val="auto"/>
              </w:rPr>
            </w:pPr>
            <w:r>
              <w:rPr>
                <w:rFonts w:ascii="Times New Roman" w:cs="Times New Roman" w:eastAsia="Times New Roman" w:hAnsi="Times New Roman"/>
                <w:sz w:val="13"/>
                <w:szCs w:val="13"/>
                <w:color w:val="auto"/>
              </w:rPr>
              <w:t>As of</w:t>
            </w:r>
          </w:p>
        </w:tc>
      </w:tr>
      <w:tr>
        <w:trPr>
          <w:trHeight w:val="125"/>
        </w:trPr>
        <w:tc>
          <w:tcPr>
            <w:tcW w:w="4660" w:type="dxa"/>
            <w:vAlign w:val="bottom"/>
          </w:tcPr>
          <w:p>
            <w:pPr>
              <w:spacing w:after="0"/>
              <w:rPr>
                <w:sz w:val="10"/>
                <w:szCs w:val="10"/>
                <w:color w:val="auto"/>
              </w:rPr>
            </w:pPr>
          </w:p>
        </w:tc>
        <w:tc>
          <w:tcPr>
            <w:tcW w:w="1140" w:type="dxa"/>
            <w:vAlign w:val="bottom"/>
            <w:tcBorders>
              <w:top w:val="single" w:sz="8" w:color="auto"/>
            </w:tcBorders>
            <w:gridSpan w:val="3"/>
          </w:tcPr>
          <w:p>
            <w:pPr>
              <w:jc w:val="right"/>
              <w:ind w:right="120"/>
              <w:spacing w:after="0" w:line="125" w:lineRule="exact"/>
              <w:rPr>
                <w:sz w:val="20"/>
                <w:szCs w:val="20"/>
                <w:color w:val="auto"/>
              </w:rPr>
            </w:pPr>
            <w:r>
              <w:rPr>
                <w:rFonts w:ascii="Times New Roman" w:cs="Times New Roman" w:eastAsia="Times New Roman" w:hAnsi="Times New Roman"/>
                <w:sz w:val="13"/>
                <w:szCs w:val="13"/>
                <w:color w:val="auto"/>
                <w:w w:val="97"/>
              </w:rPr>
              <w:t>December 31, 2021</w:t>
            </w:r>
          </w:p>
        </w:tc>
        <w:tc>
          <w:tcPr>
            <w:tcW w:w="5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w w:val="95"/>
              </w:rPr>
              <w:t>December 31, 2022</w:t>
            </w:r>
          </w:p>
        </w:tc>
        <w:tc>
          <w:tcPr>
            <w:tcW w:w="100" w:type="dxa"/>
            <w:vAlign w:val="bottom"/>
          </w:tcPr>
          <w:p>
            <w:pPr>
              <w:spacing w:after="0"/>
              <w:rPr>
                <w:sz w:val="10"/>
                <w:szCs w:val="10"/>
                <w:color w:val="auto"/>
              </w:rPr>
            </w:pPr>
          </w:p>
        </w:tc>
      </w:tr>
      <w:tr>
        <w:trPr>
          <w:trHeight w:val="125"/>
        </w:trPr>
        <w:tc>
          <w:tcPr>
            <w:tcW w:w="4660" w:type="dxa"/>
            <w:vAlign w:val="bottom"/>
          </w:tcPr>
          <w:p>
            <w:pPr>
              <w:spacing w:after="0"/>
              <w:rPr>
                <w:sz w:val="10"/>
                <w:szCs w:val="10"/>
                <w:color w:val="auto"/>
              </w:rPr>
            </w:pPr>
          </w:p>
        </w:tc>
        <w:tc>
          <w:tcPr>
            <w:tcW w:w="1020" w:type="dxa"/>
            <w:vAlign w:val="bottom"/>
            <w:tcBorders>
              <w:top w:val="single" w:sz="8" w:color="auto"/>
            </w:tcBorders>
          </w:tcPr>
          <w:p>
            <w:pPr>
              <w:jc w:val="right"/>
              <w:ind w:right="303"/>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2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tcBorders>
              <w:top w:val="single" w:sz="8" w:color="auto"/>
            </w:tcBorders>
          </w:tcPr>
          <w:p>
            <w:pPr>
              <w:jc w:val="right"/>
              <w:ind w:right="288"/>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00" w:type="dxa"/>
            <w:vAlign w:val="bottom"/>
          </w:tcPr>
          <w:p>
            <w:pPr>
              <w:spacing w:after="0"/>
              <w:rPr>
                <w:sz w:val="10"/>
                <w:szCs w:val="10"/>
                <w:color w:val="auto"/>
              </w:rPr>
            </w:pPr>
          </w:p>
        </w:tc>
      </w:tr>
      <w:tr>
        <w:trPr>
          <w:trHeight w:val="19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Insurance agency license (1)</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12,336</w:t>
            </w:r>
          </w:p>
        </w:tc>
        <w:tc>
          <w:tcPr>
            <w:tcW w:w="10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45,150</w:t>
            </w:r>
          </w:p>
        </w:tc>
      </w:tr>
      <w:tr>
        <w:trPr>
          <w:trHeight w:val="19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Insurance adjusting license</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3,067</w:t>
            </w:r>
          </w:p>
        </w:tc>
        <w:tc>
          <w:tcPr>
            <w:tcW w:w="100" w:type="dxa"/>
            <w:vAlign w:val="bottom"/>
          </w:tcPr>
          <w:p>
            <w:pPr>
              <w:spacing w:after="0"/>
              <w:rPr>
                <w:sz w:val="16"/>
                <w:szCs w:val="16"/>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3,067</w:t>
            </w:r>
          </w:p>
        </w:tc>
      </w:tr>
      <w:tr>
        <w:trPr>
          <w:trHeight w:val="19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Insurance brokerage license</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2,647</w:t>
            </w:r>
          </w:p>
        </w:tc>
        <w:tc>
          <w:tcPr>
            <w:tcW w:w="10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2,647</w:t>
            </w:r>
          </w:p>
        </w:tc>
      </w:tr>
      <w:tr>
        <w:trPr>
          <w:trHeight w:val="19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Software and system</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5,436</w:t>
            </w:r>
          </w:p>
        </w:tc>
        <w:tc>
          <w:tcPr>
            <w:tcW w:w="100" w:type="dxa"/>
            <w:vAlign w:val="bottom"/>
          </w:tcPr>
          <w:p>
            <w:pPr>
              <w:spacing w:after="0"/>
              <w:rPr>
                <w:sz w:val="16"/>
                <w:szCs w:val="16"/>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5,695</w:t>
            </w:r>
          </w:p>
        </w:tc>
      </w:tr>
      <w:tr>
        <w:trPr>
          <w:trHeight w:val="19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Domain name</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580</w:t>
            </w:r>
          </w:p>
        </w:tc>
      </w:tr>
      <w:tr>
        <w:trPr>
          <w:trHeight w:val="197"/>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57,139</w:t>
            </w:r>
          </w:p>
        </w:tc>
        <w:tc>
          <w:tcPr>
            <w:tcW w:w="100" w:type="dxa"/>
            <w:vAlign w:val="bottom"/>
          </w:tcPr>
          <w:p>
            <w:pPr>
              <w:spacing w:after="0"/>
              <w:rPr>
                <w:sz w:val="17"/>
                <w:szCs w:val="17"/>
                <w:color w:val="auto"/>
              </w:rPr>
            </w:pPr>
          </w:p>
        </w:tc>
      </w:tr>
      <w:tr>
        <w:trPr>
          <w:trHeight w:val="19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amortization (2)</w:t>
            </w: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(2,440)</w:t>
            </w: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(3,641)</w:t>
            </w:r>
          </w:p>
        </w:tc>
      </w:tr>
      <w:tr>
        <w:trPr>
          <w:trHeight w:val="197"/>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21,626</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53,498</w:t>
            </w:r>
          </w:p>
        </w:tc>
        <w:tc>
          <w:tcPr>
            <w:tcW w:w="10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ind w:left="1100" w:right="20" w:hanging="393"/>
        <w:spacing w:after="0" w:line="284" w:lineRule="auto"/>
        <w:tabs>
          <w:tab w:leader="none" w:pos="110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2022, the Group’s disposal of a subsidiary resulted in a decrease of RMB4,519 in insurance agency license, and the Group’s acquisition of a subsidiary resulted in an increase of RMB37,333 in insurance agency license.</w:t>
      </w:r>
    </w:p>
    <w:p>
      <w:pPr>
        <w:spacing w:after="0" w:line="46" w:lineRule="exact"/>
        <w:rPr>
          <w:rFonts w:ascii="Times New Roman" w:cs="Times New Roman" w:eastAsia="Times New Roman" w:hAnsi="Times New Roman"/>
          <w:sz w:val="16"/>
          <w:szCs w:val="16"/>
          <w:color w:val="auto"/>
        </w:rPr>
      </w:pPr>
    </w:p>
    <w:p>
      <w:pPr>
        <w:ind w:left="1100"/>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addition of insurance agency license was derived from the acquisition of Shenzhen Detong. During the year ended December 31, 2022, the Company completed the acquisition of Shenzhen Detong. Since substantially all the fair value of the assets acquired from acquiree company was concentrated in a single asset, the acquiree company did not meet the criteria of a business and the transaction was accounted for as an asset acquisition.</w:t>
      </w:r>
    </w:p>
    <w:p>
      <w:pPr>
        <w:spacing w:after="0" w:line="76" w:lineRule="exact"/>
        <w:rPr>
          <w:rFonts w:ascii="Times New Roman" w:cs="Times New Roman" w:eastAsia="Times New Roman" w:hAnsi="Times New Roman"/>
          <w:sz w:val="16"/>
          <w:szCs w:val="16"/>
          <w:color w:val="auto"/>
        </w:rPr>
      </w:pPr>
    </w:p>
    <w:p>
      <w:pPr>
        <w:ind w:left="1100" w:hanging="393"/>
        <w:spacing w:after="0"/>
        <w:tabs>
          <w:tab w:leader="none" w:pos="110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expenses for the years ended December 31, 2020, 2021 and 2022 were RMB424, RMB950 and RMB1,201, respectively.</w:t>
      </w:r>
    </w:p>
    <w:p>
      <w:pPr>
        <w:spacing w:after="0" w:line="20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No impairment for intangible assets was recorded for the years ended December 31, 2020, 2021 and 2022.</w:t>
      </w:r>
    </w:p>
    <w:p>
      <w:pPr>
        <w:spacing w:after="0" w:line="1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F-44</w:t>
      </w:r>
    </w:p>
    <w:p>
      <w:pPr>
        <w:sectPr>
          <w:pgSz w:w="11900" w:h="16838" w:orient="portrait"/>
          <w:cols w:equalWidth="0" w:num="1">
            <w:col w:w="10420"/>
          </w:cols>
          <w:pgMar w:left="320" w:top="447" w:right="11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8. Intangible assets, net (Continued)</w:t>
      </w:r>
    </w:p>
    <w:p>
      <w:pPr>
        <w:spacing w:after="0" w:line="1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amortization of the coming 5 years is:</w:t>
      </w:r>
    </w:p>
    <w:p>
      <w:pPr>
        <w:spacing w:after="0" w:line="222"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15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bottom w:val="single" w:sz="8" w:color="auto"/>
            </w:tcBorders>
            <w:gridSpan w:val="2"/>
          </w:tcPr>
          <w:p>
            <w:pPr>
              <w:jc w:val="center"/>
              <w:ind w:left="204"/>
              <w:spacing w:after="0"/>
              <w:rPr>
                <w:sz w:val="20"/>
                <w:szCs w:val="20"/>
                <w:color w:val="auto"/>
              </w:rPr>
            </w:pPr>
            <w:r>
              <w:rPr>
                <w:rFonts w:ascii="Times New Roman" w:cs="Times New Roman" w:eastAsia="Times New Roman" w:hAnsi="Times New Roman"/>
                <w:sz w:val="13"/>
                <w:szCs w:val="13"/>
                <w:color w:val="auto"/>
                <w:w w:val="97"/>
              </w:rPr>
              <w:t>As of</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5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bottom w:val="single" w:sz="8" w:color="auto"/>
            </w:tcBorders>
            <w:gridSpan w:val="4"/>
          </w:tcPr>
          <w:p>
            <w:pPr>
              <w:jc w:val="center"/>
              <w:spacing w:after="0" w:line="125" w:lineRule="exact"/>
              <w:rPr>
                <w:sz w:val="20"/>
                <w:szCs w:val="20"/>
                <w:color w:val="auto"/>
              </w:rPr>
            </w:pPr>
            <w:r>
              <w:rPr>
                <w:rFonts w:ascii="Times New Roman" w:cs="Times New Roman" w:eastAsia="Times New Roman" w:hAnsi="Times New Roman"/>
                <w:sz w:val="13"/>
                <w:szCs w:val="13"/>
                <w:color w:val="auto"/>
                <w:w w:val="99"/>
              </w:rPr>
              <w:t>December 31, 2022</w:t>
            </w:r>
          </w:p>
        </w:tc>
        <w:tc>
          <w:tcPr>
            <w:tcW w:w="700" w:type="dxa"/>
            <w:vAlign w:val="bottom"/>
            <w:gridSpan w:val="2"/>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5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left="224"/>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580" w:type="dxa"/>
            <w:vAlign w:val="bottom"/>
          </w:tcPr>
          <w:p>
            <w:pPr>
              <w:spacing w:after="0"/>
              <w:rPr>
                <w:sz w:val="16"/>
                <w:szCs w:val="16"/>
                <w:color w:val="auto"/>
              </w:rPr>
            </w:pPr>
          </w:p>
        </w:tc>
        <w:tc>
          <w:tcPr>
            <w:tcW w:w="2260" w:type="dxa"/>
            <w:vAlign w:val="bottom"/>
            <w:shd w:val="clear" w:color="auto" w:fill="CCEEFF"/>
          </w:tcPr>
          <w:p>
            <w:pPr>
              <w:jc w:val="right"/>
              <w:ind w:right="1860"/>
              <w:spacing w:after="0"/>
              <w:rPr>
                <w:sz w:val="20"/>
                <w:szCs w:val="20"/>
                <w:color w:val="auto"/>
              </w:rPr>
            </w:pPr>
            <w:r>
              <w:rPr>
                <w:rFonts w:ascii="Times New Roman" w:cs="Times New Roman" w:eastAsia="Times New Roman" w:hAnsi="Times New Roman"/>
                <w:sz w:val="16"/>
                <w:szCs w:val="16"/>
                <w:color w:val="auto"/>
                <w:w w:val="93"/>
              </w:rPr>
              <w:t>2023</w:t>
            </w:r>
          </w:p>
        </w:tc>
        <w:tc>
          <w:tcPr>
            <w:tcW w:w="1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80" w:type="dxa"/>
            <w:vAlign w:val="bottom"/>
          </w:tcPr>
          <w:p>
            <w:pPr>
              <w:spacing w:after="0"/>
              <w:rPr>
                <w:sz w:val="16"/>
                <w:szCs w:val="16"/>
                <w:color w:val="auto"/>
              </w:rPr>
            </w:pPr>
          </w:p>
        </w:tc>
        <w:tc>
          <w:tcPr>
            <w:tcW w:w="2260" w:type="dxa"/>
            <w:vAlign w:val="bottom"/>
          </w:tcPr>
          <w:p>
            <w:pPr>
              <w:jc w:val="right"/>
              <w:ind w:right="1860"/>
              <w:spacing w:after="0"/>
              <w:rPr>
                <w:sz w:val="20"/>
                <w:szCs w:val="20"/>
                <w:color w:val="auto"/>
              </w:rPr>
            </w:pPr>
            <w:r>
              <w:rPr>
                <w:rFonts w:ascii="Times New Roman" w:cs="Times New Roman" w:eastAsia="Times New Roman" w:hAnsi="Times New Roman"/>
                <w:sz w:val="16"/>
                <w:szCs w:val="16"/>
                <w:color w:val="auto"/>
                <w:w w:val="93"/>
              </w:rPr>
              <w:t>2024</w:t>
            </w: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80" w:type="dxa"/>
            <w:vAlign w:val="bottom"/>
          </w:tcPr>
          <w:p>
            <w:pPr>
              <w:spacing w:after="0"/>
              <w:rPr>
                <w:sz w:val="16"/>
                <w:szCs w:val="16"/>
                <w:color w:val="auto"/>
              </w:rPr>
            </w:pPr>
          </w:p>
        </w:tc>
        <w:tc>
          <w:tcPr>
            <w:tcW w:w="2260" w:type="dxa"/>
            <w:vAlign w:val="bottom"/>
            <w:shd w:val="clear" w:color="auto" w:fill="CCEEFF"/>
          </w:tcPr>
          <w:p>
            <w:pPr>
              <w:jc w:val="right"/>
              <w:ind w:right="1860"/>
              <w:spacing w:after="0"/>
              <w:rPr>
                <w:sz w:val="20"/>
                <w:szCs w:val="20"/>
                <w:color w:val="auto"/>
              </w:rPr>
            </w:pPr>
            <w:r>
              <w:rPr>
                <w:rFonts w:ascii="Times New Roman" w:cs="Times New Roman" w:eastAsia="Times New Roman" w:hAnsi="Times New Roman"/>
                <w:sz w:val="16"/>
                <w:szCs w:val="16"/>
                <w:color w:val="auto"/>
                <w:w w:val="93"/>
              </w:rPr>
              <w:t>2025</w:t>
            </w:r>
          </w:p>
        </w:tc>
        <w:tc>
          <w:tcPr>
            <w:tcW w:w="1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80" w:type="dxa"/>
            <w:vAlign w:val="bottom"/>
          </w:tcPr>
          <w:p>
            <w:pPr>
              <w:spacing w:after="0"/>
              <w:rPr>
                <w:sz w:val="16"/>
                <w:szCs w:val="16"/>
                <w:color w:val="auto"/>
              </w:rPr>
            </w:pPr>
          </w:p>
        </w:tc>
        <w:tc>
          <w:tcPr>
            <w:tcW w:w="2260" w:type="dxa"/>
            <w:vAlign w:val="bottom"/>
          </w:tcPr>
          <w:p>
            <w:pPr>
              <w:jc w:val="right"/>
              <w:ind w:right="1860"/>
              <w:spacing w:after="0"/>
              <w:rPr>
                <w:sz w:val="20"/>
                <w:szCs w:val="20"/>
                <w:color w:val="auto"/>
              </w:rPr>
            </w:pPr>
            <w:r>
              <w:rPr>
                <w:rFonts w:ascii="Times New Roman" w:cs="Times New Roman" w:eastAsia="Times New Roman" w:hAnsi="Times New Roman"/>
                <w:sz w:val="16"/>
                <w:szCs w:val="16"/>
                <w:color w:val="auto"/>
                <w:w w:val="93"/>
              </w:rPr>
              <w:t>2026</w:t>
            </w: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80" w:type="dxa"/>
            <w:vAlign w:val="bottom"/>
          </w:tcPr>
          <w:p>
            <w:pPr>
              <w:spacing w:after="0"/>
              <w:rPr>
                <w:sz w:val="16"/>
                <w:szCs w:val="16"/>
                <w:color w:val="auto"/>
              </w:rPr>
            </w:pPr>
          </w:p>
        </w:tc>
        <w:tc>
          <w:tcPr>
            <w:tcW w:w="2260" w:type="dxa"/>
            <w:vAlign w:val="bottom"/>
            <w:shd w:val="clear" w:color="auto" w:fill="CCEEFF"/>
          </w:tcPr>
          <w:p>
            <w:pPr>
              <w:jc w:val="right"/>
              <w:ind w:right="1860"/>
              <w:spacing w:after="0"/>
              <w:rPr>
                <w:sz w:val="20"/>
                <w:szCs w:val="20"/>
                <w:color w:val="auto"/>
              </w:rPr>
            </w:pPr>
            <w:r>
              <w:rPr>
                <w:rFonts w:ascii="Times New Roman" w:cs="Times New Roman" w:eastAsia="Times New Roman" w:hAnsi="Times New Roman"/>
                <w:sz w:val="16"/>
                <w:szCs w:val="16"/>
                <w:color w:val="auto"/>
                <w:w w:val="93"/>
              </w:rPr>
              <w:t>2027</w:t>
            </w:r>
          </w:p>
        </w:tc>
        <w:tc>
          <w:tcPr>
            <w:tcW w:w="1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2"/>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9. Long-term investments</w:t>
            </w: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w w:val="97"/>
              </w:rPr>
              <w:t>Equity</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color w:val="auto"/>
                <w:w w:val="97"/>
              </w:rPr>
              <w:t>Equity</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6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3"/>
                <w:szCs w:val="13"/>
                <w:color w:val="auto"/>
                <w:w w:val="99"/>
              </w:rPr>
              <w:t>investments</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3"/>
                <w:szCs w:val="13"/>
                <w:color w:val="auto"/>
                <w:w w:val="96"/>
              </w:rPr>
              <w:t>Investment</w:t>
            </w:r>
          </w:p>
        </w:tc>
        <w:tc>
          <w:tcPr>
            <w:tcW w:w="180" w:type="dxa"/>
            <w:vAlign w:val="bottom"/>
          </w:tcPr>
          <w:p>
            <w:pPr>
              <w:spacing w:after="0"/>
              <w:rPr>
                <w:sz w:val="11"/>
                <w:szCs w:val="11"/>
                <w:color w:val="auto"/>
              </w:rPr>
            </w:pPr>
          </w:p>
        </w:tc>
        <w:tc>
          <w:tcPr>
            <w:tcW w:w="1160" w:type="dxa"/>
            <w:vAlign w:val="bottom"/>
            <w:gridSpan w:val="4"/>
          </w:tcPr>
          <w:p>
            <w:pPr>
              <w:jc w:val="center"/>
              <w:ind w:right="360"/>
              <w:spacing w:after="0" w:line="133" w:lineRule="exact"/>
              <w:rPr>
                <w:sz w:val="20"/>
                <w:szCs w:val="20"/>
                <w:color w:val="auto"/>
              </w:rPr>
            </w:pPr>
            <w:r>
              <w:rPr>
                <w:rFonts w:ascii="Times New Roman" w:cs="Times New Roman" w:eastAsia="Times New Roman" w:hAnsi="Times New Roman"/>
                <w:sz w:val="13"/>
                <w:szCs w:val="13"/>
                <w:color w:val="auto"/>
                <w:w w:val="96"/>
              </w:rPr>
              <w:t>investments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6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3"/>
                <w:szCs w:val="13"/>
                <w:color w:val="auto"/>
                <w:w w:val="99"/>
              </w:rPr>
              <w:t>measured under</w:t>
            </w:r>
          </w:p>
        </w:tc>
        <w:tc>
          <w:tcPr>
            <w:tcW w:w="8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3"/>
                <w:szCs w:val="13"/>
                <w:color w:val="auto"/>
              </w:rPr>
              <w:t>Equity</w:t>
            </w:r>
          </w:p>
        </w:tc>
        <w:tc>
          <w:tcPr>
            <w:tcW w:w="8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tcPr>
          <w:p>
            <w:pPr>
              <w:jc w:val="center"/>
              <w:ind w:right="340"/>
              <w:spacing w:after="0" w:line="133" w:lineRule="exact"/>
              <w:rPr>
                <w:sz w:val="20"/>
                <w:szCs w:val="20"/>
                <w:color w:val="auto"/>
              </w:rPr>
            </w:pPr>
            <w:r>
              <w:rPr>
                <w:rFonts w:ascii="Times New Roman" w:cs="Times New Roman" w:eastAsia="Times New Roman" w:hAnsi="Times New Roman"/>
                <w:sz w:val="13"/>
                <w:szCs w:val="13"/>
                <w:color w:val="auto"/>
                <w:w w:val="99"/>
              </w:rPr>
              <w:t>measured under</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6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3"/>
                <w:szCs w:val="13"/>
                <w:color w:val="auto"/>
                <w:w w:val="98"/>
              </w:rPr>
              <w:t>measurement</w:t>
            </w:r>
          </w:p>
        </w:tc>
        <w:tc>
          <w:tcPr>
            <w:tcW w:w="820" w:type="dxa"/>
            <w:vAlign w:val="bottom"/>
            <w:gridSpan w:val="2"/>
            <w:vMerge w:val="continue"/>
          </w:tcPr>
          <w:p>
            <w:pPr>
              <w:spacing w:after="0"/>
              <w:rPr>
                <w:sz w:val="11"/>
                <w:szCs w:val="11"/>
                <w:color w:val="auto"/>
              </w:rPr>
            </w:pPr>
          </w:p>
        </w:tc>
        <w:tc>
          <w:tcPr>
            <w:tcW w:w="880" w:type="dxa"/>
            <w:vAlign w:val="bottom"/>
            <w:gridSpan w:val="3"/>
          </w:tcPr>
          <w:p>
            <w:pPr>
              <w:jc w:val="center"/>
              <w:ind w:right="160"/>
              <w:spacing w:after="0" w:line="133" w:lineRule="exact"/>
              <w:rPr>
                <w:sz w:val="20"/>
                <w:szCs w:val="20"/>
                <w:color w:val="auto"/>
              </w:rPr>
            </w:pPr>
            <w:r>
              <w:rPr>
                <w:rFonts w:ascii="Times New Roman" w:cs="Times New Roman" w:eastAsia="Times New Roman" w:hAnsi="Times New Roman"/>
                <w:sz w:val="13"/>
                <w:szCs w:val="13"/>
                <w:color w:val="auto"/>
              </w:rPr>
              <w:t>accounted for</w:t>
            </w:r>
          </w:p>
        </w:tc>
        <w:tc>
          <w:tcPr>
            <w:tcW w:w="180" w:type="dxa"/>
            <w:vAlign w:val="bottom"/>
          </w:tcPr>
          <w:p>
            <w:pPr>
              <w:spacing w:after="0"/>
              <w:rPr>
                <w:sz w:val="11"/>
                <w:szCs w:val="11"/>
                <w:color w:val="auto"/>
              </w:rPr>
            </w:pPr>
          </w:p>
        </w:tc>
        <w:tc>
          <w:tcPr>
            <w:tcW w:w="1160" w:type="dxa"/>
            <w:vAlign w:val="bottom"/>
            <w:gridSpan w:val="4"/>
          </w:tcPr>
          <w:p>
            <w:pPr>
              <w:jc w:val="center"/>
              <w:ind w:right="340"/>
              <w:spacing w:after="0" w:line="133" w:lineRule="exact"/>
              <w:rPr>
                <w:sz w:val="20"/>
                <w:szCs w:val="20"/>
                <w:color w:val="auto"/>
              </w:rPr>
            </w:pPr>
            <w:r>
              <w:rPr>
                <w:rFonts w:ascii="Times New Roman" w:cs="Times New Roman" w:eastAsia="Times New Roman" w:hAnsi="Times New Roman"/>
                <w:sz w:val="13"/>
                <w:szCs w:val="13"/>
                <w:color w:val="auto"/>
                <w:w w:val="97"/>
              </w:rPr>
              <w:t>NAV practical</w:t>
            </w: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w w:val="98"/>
              </w:rPr>
              <w:t>alternative</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Method</w:t>
            </w: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color w:val="auto"/>
                <w:w w:val="96"/>
              </w:rPr>
              <w:t>at fair value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color w:val="auto"/>
                <w:w w:val="98"/>
              </w:rPr>
              <w:t>expedient</w:t>
            </w:r>
          </w:p>
        </w:tc>
        <w:tc>
          <w:tcPr>
            <w:tcW w:w="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5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340" w:type="dxa"/>
            <w:vAlign w:val="bottom"/>
          </w:tcPr>
          <w:p>
            <w:pPr>
              <w:spacing w:after="0"/>
              <w:rPr>
                <w:sz w:val="10"/>
                <w:szCs w:val="10"/>
                <w:color w:val="auto"/>
              </w:rPr>
            </w:pPr>
          </w:p>
        </w:tc>
        <w:tc>
          <w:tcPr>
            <w:tcW w:w="480" w:type="dxa"/>
            <w:vAlign w:val="bottom"/>
            <w:tcBorders>
              <w:top w:val="single" w:sz="8" w:color="auto"/>
            </w:tcBorders>
          </w:tcPr>
          <w:p>
            <w:pPr>
              <w:jc w:val="right"/>
              <w:ind w:right="22"/>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3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84"/>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102"/>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340" w:type="dxa"/>
            <w:vAlign w:val="bottom"/>
          </w:tcPr>
          <w:p>
            <w:pPr>
              <w:spacing w:after="0"/>
              <w:rPr>
                <w:sz w:val="10"/>
                <w:szCs w:val="10"/>
                <w:color w:val="auto"/>
              </w:rPr>
            </w:pPr>
          </w:p>
        </w:tc>
        <w:tc>
          <w:tcPr>
            <w:tcW w:w="480" w:type="dxa"/>
            <w:vAlign w:val="bottom"/>
            <w:tcBorders>
              <w:top w:val="single" w:sz="8" w:color="auto"/>
            </w:tcBorders>
          </w:tcPr>
          <w:p>
            <w:pPr>
              <w:jc w:val="right"/>
              <w:ind w:right="21"/>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January 1, 2020</w:t>
            </w:r>
          </w:p>
        </w:tc>
        <w:tc>
          <w:tcPr>
            <w:tcW w:w="2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14,500</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8,895</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23,395</w:t>
            </w:r>
          </w:p>
        </w:tc>
        <w:tc>
          <w:tcPr>
            <w:tcW w:w="0" w:type="dxa"/>
            <w:vAlign w:val="bottom"/>
          </w:tcPr>
          <w:p>
            <w:pPr>
              <w:spacing w:after="0"/>
              <w:rPr>
                <w:sz w:val="1"/>
                <w:szCs w:val="1"/>
                <w:color w:val="auto"/>
              </w:rPr>
            </w:pPr>
          </w:p>
        </w:tc>
      </w:tr>
      <w:tr>
        <w:trPr>
          <w:trHeight w:val="19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w:t>
            </w:r>
          </w:p>
        </w:tc>
        <w:tc>
          <w:tcPr>
            <w:tcW w:w="23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1,000</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21,450</w:t>
            </w:r>
          </w:p>
        </w:tc>
        <w:tc>
          <w:tcPr>
            <w:tcW w:w="160" w:type="dxa"/>
            <w:vAlign w:val="bottom"/>
          </w:tcPr>
          <w:p>
            <w:pPr>
              <w:spacing w:after="0"/>
              <w:rPr>
                <w:sz w:val="16"/>
                <w:szCs w:val="16"/>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22,450</w:t>
            </w:r>
          </w:p>
        </w:tc>
        <w:tc>
          <w:tcPr>
            <w:tcW w:w="0" w:type="dxa"/>
            <w:vAlign w:val="bottom"/>
          </w:tcPr>
          <w:p>
            <w:pPr>
              <w:spacing w:after="0"/>
              <w:rPr>
                <w:sz w:val="1"/>
                <w:szCs w:val="1"/>
                <w:color w:val="auto"/>
              </w:rPr>
            </w:pPr>
          </w:p>
        </w:tc>
      </w:tr>
      <w:tr>
        <w:trPr>
          <w:trHeight w:val="19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of earnings/(loss) of an equity investee</w:t>
            </w:r>
          </w:p>
        </w:tc>
        <w:tc>
          <w:tcPr>
            <w:tcW w:w="1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239</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19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Reclassification</w:t>
            </w:r>
          </w:p>
        </w:tc>
        <w:tc>
          <w:tcPr>
            <w:tcW w:w="1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9,195</w:t>
            </w:r>
          </w:p>
        </w:tc>
        <w:tc>
          <w:tcPr>
            <w:tcW w:w="340" w:type="dxa"/>
            <w:vAlign w:val="bottom"/>
          </w:tcPr>
          <w:p>
            <w:pPr>
              <w:spacing w:after="0"/>
              <w:rPr>
                <w:sz w:val="16"/>
                <w:szCs w:val="16"/>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(9,195)</w:t>
            </w:r>
          </w:p>
        </w:tc>
        <w:tc>
          <w:tcPr>
            <w:tcW w:w="160" w:type="dxa"/>
            <w:vAlign w:val="bottom"/>
          </w:tcPr>
          <w:p>
            <w:pPr>
              <w:spacing w:after="0"/>
              <w:rPr>
                <w:sz w:val="16"/>
                <w:szCs w:val="16"/>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15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2020</w:t>
            </w:r>
          </w:p>
        </w:tc>
        <w:tc>
          <w:tcPr>
            <w:tcW w:w="1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24,695</w:t>
            </w:r>
          </w:p>
        </w:tc>
        <w:tc>
          <w:tcPr>
            <w:tcW w:w="3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21,389</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46,084</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Balances at January 1, 2021</w:t>
            </w:r>
          </w:p>
        </w:tc>
        <w:tc>
          <w:tcPr>
            <w:tcW w:w="1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4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24,695</w:t>
            </w:r>
          </w:p>
        </w:tc>
        <w:tc>
          <w:tcPr>
            <w:tcW w:w="340" w:type="dxa"/>
            <w:vAlign w:val="bottom"/>
          </w:tcPr>
          <w:p>
            <w:pPr>
              <w:spacing w:after="0"/>
              <w:rPr>
                <w:sz w:val="15"/>
                <w:szCs w:val="15"/>
                <w:color w:val="auto"/>
              </w:rPr>
            </w:pPr>
          </w:p>
        </w:tc>
        <w:tc>
          <w:tcPr>
            <w:tcW w:w="480" w:type="dxa"/>
            <w:vAlign w:val="bottom"/>
          </w:tcPr>
          <w:p>
            <w:pPr>
              <w:ind w:left="40"/>
              <w:spacing w:after="0" w:line="181" w:lineRule="exact"/>
              <w:rPr>
                <w:sz w:val="20"/>
                <w:szCs w:val="20"/>
                <w:color w:val="auto"/>
              </w:rPr>
            </w:pPr>
            <w:r>
              <w:rPr>
                <w:rFonts w:ascii="Times New Roman" w:cs="Times New Roman" w:eastAsia="Times New Roman" w:hAnsi="Times New Roman"/>
                <w:sz w:val="16"/>
                <w:szCs w:val="16"/>
                <w:color w:val="auto"/>
                <w:w w:val="95"/>
              </w:rPr>
              <w:t>21,389</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ind w:left="3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ind w:left="4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46,084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w:t>
            </w:r>
          </w:p>
        </w:tc>
        <w:tc>
          <w:tcPr>
            <w:tcW w:w="2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12,500</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9,900</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4,641</w:t>
            </w:r>
          </w:p>
        </w:tc>
        <w:tc>
          <w:tcPr>
            <w:tcW w:w="134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6,373</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33,414</w:t>
            </w:r>
          </w:p>
        </w:tc>
        <w:tc>
          <w:tcPr>
            <w:tcW w:w="0" w:type="dxa"/>
            <w:vAlign w:val="bottom"/>
          </w:tcPr>
          <w:p>
            <w:pPr>
              <w:spacing w:after="0"/>
              <w:rPr>
                <w:sz w:val="1"/>
                <w:szCs w:val="1"/>
                <w:color w:val="auto"/>
              </w:rPr>
            </w:pPr>
          </w:p>
        </w:tc>
      </w:tr>
      <w:tr>
        <w:trPr>
          <w:trHeight w:val="19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 of earnings/(loss) of an equity investee</w:t>
            </w:r>
          </w:p>
        </w:tc>
        <w:tc>
          <w:tcPr>
            <w:tcW w:w="1220" w:type="dxa"/>
            <w:vAlign w:val="bottom"/>
          </w:tcPr>
          <w:p>
            <w:pPr>
              <w:spacing w:after="0"/>
              <w:rPr>
                <w:sz w:val="16"/>
                <w:szCs w:val="16"/>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2,660</w:t>
            </w:r>
          </w:p>
        </w:tc>
        <w:tc>
          <w:tcPr>
            <w:tcW w:w="160" w:type="dxa"/>
            <w:vAlign w:val="bottom"/>
          </w:tcPr>
          <w:p>
            <w:pPr>
              <w:spacing w:after="0"/>
              <w:rPr>
                <w:sz w:val="16"/>
                <w:szCs w:val="16"/>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change</w:t>
            </w:r>
          </w:p>
        </w:tc>
        <w:tc>
          <w:tcPr>
            <w:tcW w:w="1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(1,339)</w:t>
            </w:r>
          </w:p>
        </w:tc>
        <w:tc>
          <w:tcPr>
            <w:tcW w:w="134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(2,885)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(4,224)</w:t>
            </w:r>
          </w:p>
        </w:tc>
        <w:tc>
          <w:tcPr>
            <w:tcW w:w="0" w:type="dxa"/>
            <w:vAlign w:val="bottom"/>
          </w:tcPr>
          <w:p>
            <w:pPr>
              <w:spacing w:after="0"/>
              <w:rPr>
                <w:sz w:val="1"/>
                <w:szCs w:val="1"/>
                <w:color w:val="auto"/>
              </w:rPr>
            </w:pPr>
          </w:p>
        </w:tc>
      </w:tr>
      <w:tr>
        <w:trPr>
          <w:trHeight w:val="19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Realized gain/(loss)</w:t>
            </w:r>
          </w:p>
        </w:tc>
        <w:tc>
          <w:tcPr>
            <w:tcW w:w="1220" w:type="dxa"/>
            <w:vAlign w:val="bottom"/>
          </w:tcPr>
          <w:p>
            <w:pPr>
              <w:spacing w:after="0"/>
              <w:rPr>
                <w:sz w:val="16"/>
                <w:szCs w:val="16"/>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265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19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1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203</w:t>
            </w:r>
          </w:p>
        </w:tc>
        <w:tc>
          <w:tcPr>
            <w:tcW w:w="134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29</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19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Impairment</w:t>
            </w:r>
          </w:p>
        </w:tc>
        <w:tc>
          <w:tcPr>
            <w:tcW w:w="23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(1,610)</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(1,610)</w:t>
            </w:r>
          </w:p>
        </w:tc>
        <w:tc>
          <w:tcPr>
            <w:tcW w:w="0" w:type="dxa"/>
            <w:vAlign w:val="bottom"/>
          </w:tcPr>
          <w:p>
            <w:pPr>
              <w:spacing w:after="0"/>
              <w:rPr>
                <w:sz w:val="1"/>
                <w:szCs w:val="1"/>
                <w:color w:val="auto"/>
              </w:rPr>
            </w:pPr>
          </w:p>
        </w:tc>
      </w:tr>
      <w:tr>
        <w:trPr>
          <w:trHeight w:val="19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w:t>
            </w:r>
          </w:p>
        </w:tc>
        <w:tc>
          <w:tcPr>
            <w:tcW w:w="2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(890)</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(2,930)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(3,820)</w:t>
            </w:r>
          </w:p>
        </w:tc>
        <w:tc>
          <w:tcPr>
            <w:tcW w:w="0" w:type="dxa"/>
            <w:vAlign w:val="bottom"/>
          </w:tcPr>
          <w:p>
            <w:pPr>
              <w:spacing w:after="0"/>
              <w:rPr>
                <w:sz w:val="1"/>
                <w:szCs w:val="1"/>
                <w:color w:val="auto"/>
              </w:rPr>
            </w:pPr>
          </w:p>
        </w:tc>
      </w:tr>
      <w:tr>
        <w:trPr>
          <w:trHeight w:val="197"/>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2021</w:t>
            </w:r>
          </w:p>
        </w:tc>
        <w:tc>
          <w:tcPr>
            <w:tcW w:w="12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34,695</w:t>
            </w:r>
          </w:p>
        </w:tc>
        <w:tc>
          <w:tcPr>
            <w:tcW w:w="34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5"/>
              </w:rPr>
              <w:t>33,949</w:t>
            </w:r>
          </w:p>
        </w:tc>
        <w:tc>
          <w:tcPr>
            <w:tcW w:w="340" w:type="dxa"/>
            <w:vAlign w:val="bottom"/>
          </w:tcPr>
          <w:p>
            <w:pPr>
              <w:spacing w:after="0"/>
              <w:rPr>
                <w:sz w:val="17"/>
                <w:szCs w:val="17"/>
                <w:color w:val="auto"/>
              </w:rPr>
            </w:pPr>
          </w:p>
        </w:tc>
        <w:tc>
          <w:tcPr>
            <w:tcW w:w="720" w:type="dxa"/>
            <w:vAlign w:val="bottom"/>
            <w:tcBorders>
              <w:top w:val="single" w:sz="8" w:color="auto"/>
              <w:bottom w:val="single" w:sz="8" w:color="auto"/>
            </w:tcBorders>
            <w:gridSpan w:val="2"/>
          </w:tcPr>
          <w:p>
            <w:pPr>
              <w:ind w:left="480"/>
              <w:spacing w:after="0"/>
              <w:rPr>
                <w:sz w:val="20"/>
                <w:szCs w:val="20"/>
                <w:color w:val="auto"/>
              </w:rPr>
            </w:pPr>
            <w:r>
              <w:rPr>
                <w:rFonts w:ascii="Times New Roman" w:cs="Times New Roman" w:eastAsia="Times New Roman" w:hAnsi="Times New Roman"/>
                <w:sz w:val="16"/>
                <w:szCs w:val="16"/>
                <w:color w:val="auto"/>
                <w:w w:val="91"/>
              </w:rPr>
              <w:t>840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3,517</w:t>
            </w:r>
          </w:p>
        </w:tc>
        <w:tc>
          <w:tcPr>
            <w:tcW w:w="34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4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Balances at January 1, 2022</w:t>
            </w:r>
          </w:p>
        </w:tc>
        <w:tc>
          <w:tcPr>
            <w:tcW w:w="2380" w:type="dxa"/>
            <w:vAlign w:val="bottom"/>
            <w:gridSpan w:val="3"/>
            <w:shd w:val="clear" w:color="auto" w:fill="CCEEFF"/>
          </w:tcPr>
          <w:p>
            <w:pPr>
              <w:jc w:val="right"/>
              <w:ind w:right="340"/>
              <w:spacing w:after="0" w:line="181" w:lineRule="exact"/>
              <w:rPr>
                <w:sz w:val="20"/>
                <w:szCs w:val="20"/>
                <w:color w:val="auto"/>
              </w:rPr>
            </w:pPr>
            <w:r>
              <w:rPr>
                <w:rFonts w:ascii="Times New Roman" w:cs="Times New Roman" w:eastAsia="Times New Roman" w:hAnsi="Times New Roman"/>
                <w:sz w:val="16"/>
                <w:szCs w:val="16"/>
                <w:color w:val="auto"/>
              </w:rPr>
              <w:t>34,695</w:t>
            </w:r>
          </w:p>
        </w:tc>
        <w:tc>
          <w:tcPr>
            <w:tcW w:w="820" w:type="dxa"/>
            <w:vAlign w:val="bottom"/>
            <w:gridSpan w:val="2"/>
            <w:shd w:val="clear" w:color="auto" w:fill="CCEEFF"/>
          </w:tcPr>
          <w:p>
            <w:pPr>
              <w:jc w:val="right"/>
              <w:ind w:right="340"/>
              <w:spacing w:after="0" w:line="181" w:lineRule="exact"/>
              <w:rPr>
                <w:sz w:val="20"/>
                <w:szCs w:val="20"/>
                <w:color w:val="auto"/>
              </w:rPr>
            </w:pPr>
            <w:r>
              <w:rPr>
                <w:rFonts w:ascii="Times New Roman" w:cs="Times New Roman" w:eastAsia="Times New Roman" w:hAnsi="Times New Roman"/>
                <w:sz w:val="16"/>
                <w:szCs w:val="16"/>
                <w:color w:val="auto"/>
              </w:rPr>
              <w:t>33,949</w:t>
            </w:r>
          </w:p>
        </w:tc>
        <w:tc>
          <w:tcPr>
            <w:tcW w:w="880" w:type="dxa"/>
            <w:vAlign w:val="bottom"/>
            <w:gridSpan w:val="3"/>
            <w:shd w:val="clear" w:color="auto" w:fill="CCEEFF"/>
          </w:tcPr>
          <w:p>
            <w:pPr>
              <w:ind w:left="480"/>
              <w:spacing w:after="0" w:line="181" w:lineRule="exact"/>
              <w:rPr>
                <w:sz w:val="20"/>
                <w:szCs w:val="20"/>
                <w:color w:val="auto"/>
              </w:rPr>
            </w:pPr>
            <w:r>
              <w:rPr>
                <w:rFonts w:ascii="Times New Roman" w:cs="Times New Roman" w:eastAsia="Times New Roman" w:hAnsi="Times New Roman"/>
                <w:sz w:val="16"/>
                <w:szCs w:val="16"/>
                <w:color w:val="auto"/>
              </w:rPr>
              <w:t>840</w:t>
            </w:r>
          </w:p>
        </w:tc>
        <w:tc>
          <w:tcPr>
            <w:tcW w:w="1340" w:type="dxa"/>
            <w:vAlign w:val="bottom"/>
            <w:gridSpan w:val="5"/>
            <w:shd w:val="clear" w:color="auto" w:fill="CCEEFF"/>
          </w:tcPr>
          <w:p>
            <w:pPr>
              <w:jc w:val="right"/>
              <w:ind w:right="340"/>
              <w:spacing w:after="0" w:line="181" w:lineRule="exact"/>
              <w:rPr>
                <w:sz w:val="20"/>
                <w:szCs w:val="20"/>
                <w:color w:val="auto"/>
              </w:rPr>
            </w:pPr>
            <w:r>
              <w:rPr>
                <w:rFonts w:ascii="Times New Roman" w:cs="Times New Roman" w:eastAsia="Times New Roman" w:hAnsi="Times New Roman"/>
                <w:sz w:val="16"/>
                <w:szCs w:val="16"/>
                <w:color w:val="auto"/>
              </w:rPr>
              <w:t>3,517</w:t>
            </w:r>
          </w:p>
        </w:tc>
        <w:tc>
          <w:tcPr>
            <w:tcW w:w="580" w:type="dxa"/>
            <w:vAlign w:val="bottom"/>
            <w:gridSpan w:val="2"/>
            <w:shd w:val="clear" w:color="auto" w:fill="CCEEFF"/>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73,001</w:t>
            </w:r>
          </w:p>
        </w:tc>
        <w:tc>
          <w:tcPr>
            <w:tcW w:w="0" w:type="dxa"/>
            <w:vAlign w:val="bottom"/>
          </w:tcPr>
          <w:p>
            <w:pPr>
              <w:spacing w:after="0"/>
              <w:rPr>
                <w:sz w:val="1"/>
                <w:szCs w:val="1"/>
                <w:color w:val="auto"/>
              </w:rPr>
            </w:pPr>
          </w:p>
        </w:tc>
      </w:tr>
      <w:tr>
        <w:trPr>
          <w:trHeight w:val="19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w:t>
            </w:r>
          </w:p>
        </w:tc>
        <w:tc>
          <w:tcPr>
            <w:tcW w:w="1220" w:type="dxa"/>
            <w:vAlign w:val="bottom"/>
          </w:tcPr>
          <w:p>
            <w:pPr>
              <w:spacing w:after="0"/>
              <w:rPr>
                <w:sz w:val="16"/>
                <w:szCs w:val="16"/>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10,000</w:t>
            </w:r>
          </w:p>
        </w:tc>
        <w:tc>
          <w:tcPr>
            <w:tcW w:w="160" w:type="dxa"/>
            <w:vAlign w:val="bottom"/>
          </w:tcPr>
          <w:p>
            <w:pPr>
              <w:spacing w:after="0"/>
              <w:rPr>
                <w:sz w:val="16"/>
                <w:szCs w:val="16"/>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9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of earnings/(loss) of an equity investee</w:t>
            </w:r>
          </w:p>
        </w:tc>
        <w:tc>
          <w:tcPr>
            <w:tcW w:w="1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(2,200)</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(2,200)</w:t>
            </w:r>
          </w:p>
        </w:tc>
        <w:tc>
          <w:tcPr>
            <w:tcW w:w="0" w:type="dxa"/>
            <w:vAlign w:val="bottom"/>
          </w:tcPr>
          <w:p>
            <w:pPr>
              <w:spacing w:after="0"/>
              <w:rPr>
                <w:sz w:val="1"/>
                <w:szCs w:val="1"/>
                <w:color w:val="auto"/>
              </w:rPr>
            </w:pPr>
          </w:p>
        </w:tc>
      </w:tr>
      <w:tr>
        <w:trPr>
          <w:trHeight w:val="19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Fair value change</w:t>
            </w:r>
          </w:p>
        </w:tc>
        <w:tc>
          <w:tcPr>
            <w:tcW w:w="1220" w:type="dxa"/>
            <w:vAlign w:val="bottom"/>
          </w:tcPr>
          <w:p>
            <w:pPr>
              <w:spacing w:after="0"/>
              <w:rPr>
                <w:sz w:val="16"/>
                <w:szCs w:val="16"/>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(109)</w:t>
            </w:r>
          </w:p>
        </w:tc>
        <w:tc>
          <w:tcPr>
            <w:tcW w:w="134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(2,675)</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(2,784)</w:t>
            </w:r>
          </w:p>
        </w:tc>
        <w:tc>
          <w:tcPr>
            <w:tcW w:w="0" w:type="dxa"/>
            <w:vAlign w:val="bottom"/>
          </w:tcPr>
          <w:p>
            <w:pPr>
              <w:spacing w:after="0"/>
              <w:rPr>
                <w:sz w:val="1"/>
                <w:szCs w:val="1"/>
                <w:color w:val="auto"/>
              </w:rPr>
            </w:pPr>
          </w:p>
        </w:tc>
      </w:tr>
      <w:tr>
        <w:trPr>
          <w:trHeight w:val="19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1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6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211</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19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Disposal</w:t>
            </w:r>
          </w:p>
        </w:tc>
        <w:tc>
          <w:tcPr>
            <w:tcW w:w="122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(1,000)</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4"/>
        </w:trPr>
        <w:tc>
          <w:tcPr>
            <w:tcW w:w="15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2022</w:t>
            </w:r>
          </w:p>
        </w:tc>
        <w:tc>
          <w:tcPr>
            <w:tcW w:w="1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33,695</w:t>
            </w:r>
          </w:p>
        </w:tc>
        <w:tc>
          <w:tcPr>
            <w:tcW w:w="3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41,749</w:t>
            </w:r>
          </w:p>
        </w:tc>
        <w:tc>
          <w:tcPr>
            <w:tcW w:w="8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808</w:t>
            </w:r>
          </w:p>
        </w:tc>
        <w:tc>
          <w:tcPr>
            <w:tcW w:w="134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1,053</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77,305</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80" w:type="dxa"/>
            <w:vAlign w:val="bottom"/>
            <w:gridSpan w:val="3"/>
          </w:tcPr>
          <w:p>
            <w:pPr>
              <w:jc w:val="right"/>
              <w:ind w:right="1140"/>
              <w:spacing w:after="0"/>
              <w:rPr>
                <w:sz w:val="20"/>
                <w:szCs w:val="20"/>
                <w:color w:val="auto"/>
              </w:rPr>
            </w:pPr>
            <w:r>
              <w:rPr>
                <w:rFonts w:ascii="Times New Roman" w:cs="Times New Roman" w:eastAsia="Times New Roman" w:hAnsi="Times New Roman"/>
                <w:sz w:val="16"/>
                <w:szCs w:val="16"/>
                <w:color w:val="auto"/>
              </w:rPr>
              <w:t>F-45</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320" w:top="447" w:right="10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9. Long-term investments (Continued)</w:t>
      </w:r>
    </w:p>
    <w:p>
      <w:pPr>
        <w:spacing w:after="0" w:line="14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Equity method</w:t>
      </w:r>
    </w:p>
    <w:p>
      <w:pPr>
        <w:spacing w:after="0" w:line="107" w:lineRule="exact"/>
        <w:rPr>
          <w:sz w:val="20"/>
          <w:szCs w:val="20"/>
          <w:color w:val="auto"/>
        </w:rPr>
      </w:pPr>
    </w:p>
    <w:p>
      <w:pPr>
        <w:ind w:left="700" w:right="160" w:firstLine="393"/>
        <w:spacing w:after="0" w:line="267" w:lineRule="auto"/>
        <w:rPr>
          <w:sz w:val="20"/>
          <w:szCs w:val="20"/>
          <w:color w:val="auto"/>
        </w:rPr>
      </w:pPr>
      <w:r>
        <w:rPr>
          <w:rFonts w:ascii="Times New Roman" w:cs="Times New Roman" w:eastAsia="Times New Roman" w:hAnsi="Times New Roman"/>
          <w:sz w:val="16"/>
          <w:szCs w:val="16"/>
          <w:color w:val="auto"/>
        </w:rPr>
        <w:t>As of December 31, 2020, 2021 and 2022, the Group’s investments accounted for under the equity method were RMB21,389, RMB33,949 and RMB41,749, respectively. The Group applies the equity method of accounting to account for its equity investments over which it has significant influence but does not own a majority equity interest or otherwise control.</w:t>
      </w:r>
    </w:p>
    <w:p>
      <w:pPr>
        <w:spacing w:after="0" w:line="157" w:lineRule="exact"/>
        <w:rPr>
          <w:sz w:val="20"/>
          <w:szCs w:val="20"/>
          <w:color w:val="auto"/>
        </w:rPr>
      </w:pPr>
    </w:p>
    <w:p>
      <w:pPr>
        <w:jc w:val="both"/>
        <w:ind w:left="700" w:right="140" w:firstLine="393"/>
        <w:spacing w:after="0" w:line="267" w:lineRule="auto"/>
        <w:rPr>
          <w:sz w:val="20"/>
          <w:szCs w:val="20"/>
          <w:color w:val="auto"/>
        </w:rPr>
      </w:pPr>
      <w:r>
        <w:rPr>
          <w:rFonts w:ascii="Times New Roman" w:cs="Times New Roman" w:eastAsia="Times New Roman" w:hAnsi="Times New Roman"/>
          <w:sz w:val="16"/>
          <w:szCs w:val="16"/>
          <w:color w:val="auto"/>
        </w:rPr>
        <w:t>During the year ended December 31, 2020, the Group invested RMB19,000 in cash for 49.26% equity interest in a private equity fund, Nanjing Qiqian Alpha Equity Investment LLP, and RMB2,450 in cash for 49% equity interest in a technology service company, Huibao Huipei. As the Group has significant influence over these companies, the investments were accounted for using the equity method.</w:t>
      </w:r>
    </w:p>
    <w:p>
      <w:pPr>
        <w:spacing w:after="0" w:line="157" w:lineRule="exact"/>
        <w:rPr>
          <w:sz w:val="20"/>
          <w:szCs w:val="20"/>
          <w:color w:val="auto"/>
        </w:rPr>
      </w:pPr>
    </w:p>
    <w:p>
      <w:pPr>
        <w:jc w:val="both"/>
        <w:ind w:left="700" w:right="380" w:firstLine="393"/>
        <w:spacing w:after="0" w:line="267" w:lineRule="auto"/>
        <w:rPr>
          <w:sz w:val="20"/>
          <w:szCs w:val="20"/>
          <w:color w:val="auto"/>
        </w:rPr>
      </w:pPr>
      <w:r>
        <w:rPr>
          <w:rFonts w:ascii="Times New Roman" w:cs="Times New Roman" w:eastAsia="Times New Roman" w:hAnsi="Times New Roman"/>
          <w:sz w:val="16"/>
          <w:szCs w:val="16"/>
          <w:color w:val="auto"/>
        </w:rPr>
        <w:t>During the year ended December 31, 2021, the Group invested RMB5,000 in cash for 49% equity interest in a technology service company, Xiaoke, and RMB4,900 in cash for 47.62% equity interest in a private equity fund, Shanghai Dewu Chuxing Investment Management Partnership (Limited Partnership). As the Group has significant influence over these companies, the investments were accounted for using the equity method.</w:t>
      </w:r>
    </w:p>
    <w:p>
      <w:pPr>
        <w:spacing w:after="0" w:line="157" w:lineRule="exact"/>
        <w:rPr>
          <w:sz w:val="20"/>
          <w:szCs w:val="20"/>
          <w:color w:val="auto"/>
        </w:rPr>
      </w:pPr>
    </w:p>
    <w:p>
      <w:pPr>
        <w:ind w:left="700" w:right="300" w:firstLine="393"/>
        <w:spacing w:after="0" w:line="267" w:lineRule="auto"/>
        <w:rPr>
          <w:sz w:val="20"/>
          <w:szCs w:val="20"/>
          <w:color w:val="auto"/>
        </w:rPr>
      </w:pPr>
      <w:r>
        <w:rPr>
          <w:rFonts w:ascii="Times New Roman" w:cs="Times New Roman" w:eastAsia="Times New Roman" w:hAnsi="Times New Roman"/>
          <w:sz w:val="16"/>
          <w:szCs w:val="16"/>
          <w:color w:val="auto"/>
        </w:rPr>
        <w:t>During the year ended December 31, 2022, the Group paid RMB10,000 of its subscribed capital contribution to Shanghai Dewu Chuxing Investment Management Partnership (Limited Partnership). Since this contribution has not affected the Group’s proportion of equity interest in this investment, the Group still used equity method to account for this investment.</w:t>
      </w:r>
    </w:p>
    <w:p>
      <w:pPr>
        <w:spacing w:after="0" w:line="2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Investment accounted for at fair value</w:t>
      </w:r>
    </w:p>
    <w:p>
      <w:pPr>
        <w:spacing w:after="0" w:line="107"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The Group paid RMB2,665 in cash to invest in private equity fund CCBT LANIAKEA CAPITAL FUND I L.P. in March 2021 and RMB1,976 in cash in stock of Nayuki in June 2021. The Group elected the fair value option in accordance with ASC 825 to account for the investments and recognized the fair value change in its consolidated statements of comprehensive income/(loss). In May 2021, the Group sold the investment in CCBT LANIAKEA CAPITAL FUND I L.P. and recognized investment gain of RMB265. For the years ended December 31, 2021 and 2022, the Group recognized a fair value loss of RMB1,339 and RMB109 for the investment in the stock of Nayuki, respectively. No such investments during the year ended December 31, 2020.</w:t>
      </w:r>
    </w:p>
    <w:p>
      <w:pPr>
        <w:spacing w:after="0" w:line="25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Equity investments measured under measurement alternative and NAV practical expedient</w:t>
      </w:r>
    </w:p>
    <w:p>
      <w:pPr>
        <w:spacing w:after="0" w:line="107" w:lineRule="exact"/>
        <w:rPr>
          <w:sz w:val="20"/>
          <w:szCs w:val="20"/>
          <w:color w:val="auto"/>
        </w:rPr>
      </w:pPr>
    </w:p>
    <w:p>
      <w:pPr>
        <w:ind w:left="700" w:right="380" w:firstLine="393"/>
        <w:spacing w:after="0" w:line="284" w:lineRule="auto"/>
        <w:rPr>
          <w:sz w:val="20"/>
          <w:szCs w:val="20"/>
          <w:color w:val="auto"/>
        </w:rPr>
      </w:pPr>
      <w:r>
        <w:rPr>
          <w:rFonts w:ascii="Times New Roman" w:cs="Times New Roman" w:eastAsia="Times New Roman" w:hAnsi="Times New Roman"/>
          <w:sz w:val="16"/>
          <w:szCs w:val="16"/>
          <w:color w:val="auto"/>
        </w:rPr>
        <w:t>Equity investments without readily determinable fair values include investments in a private equity fund accounted for under NAV practical expedient, and investments in private companies accounted for under measurement alternative.</w:t>
      </w:r>
    </w:p>
    <w:p>
      <w:pPr>
        <w:spacing w:after="0" w:line="143" w:lineRule="exact"/>
        <w:rPr>
          <w:sz w:val="20"/>
          <w:szCs w:val="20"/>
          <w:color w:val="auto"/>
        </w:rPr>
      </w:pPr>
    </w:p>
    <w:p>
      <w:pPr>
        <w:ind w:left="700" w:right="60" w:firstLine="393"/>
        <w:spacing w:after="0" w:line="259" w:lineRule="auto"/>
        <w:rPr>
          <w:sz w:val="20"/>
          <w:szCs w:val="20"/>
          <w:color w:val="auto"/>
        </w:rPr>
      </w:pPr>
      <w:r>
        <w:rPr>
          <w:rFonts w:ascii="Times New Roman" w:cs="Times New Roman" w:eastAsia="Times New Roman" w:hAnsi="Times New Roman"/>
          <w:sz w:val="16"/>
          <w:szCs w:val="16"/>
          <w:color w:val="auto"/>
        </w:rPr>
        <w:t>Investment in private equity funds over which the Group does not have the ability to exercise significant influence are accounted for under the NAV practical expedient. In March 2021, the Group paid RMB6,373 in cash to invest in private investment fund of Right Time SPC. The Group does not have the ability to exercise significant influence and elect to account for the investment under the NAV practical expedient. During the years ended December 31, 2021 and 2022, the Group recognized a fair value loss of RMB2,885 and RMB2,675. No such investments during the year ended December 31, 2020.</w:t>
      </w:r>
    </w:p>
    <w:p>
      <w:pPr>
        <w:spacing w:after="0" w:line="16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As of December 31, 2020, 2021 and 2022, the Group held investment in certain equity investments measured under measurement alternative.</w:t>
      </w:r>
    </w:p>
    <w:p>
      <w:pPr>
        <w:spacing w:after="0" w:line="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Impairment during the years ended December 31, 2020, 2021 and 2022 were nil, RMB1,610 and nil, respectively.</w:t>
      </w:r>
    </w:p>
    <w:p>
      <w:pPr>
        <w:spacing w:after="0" w:line="1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F-46</w:t>
      </w:r>
    </w:p>
    <w:p>
      <w:pPr>
        <w:sectPr>
          <w:pgSz w:w="11900" w:h="16838" w:orient="portrait"/>
          <w:cols w:equalWidth="0" w:num="1">
            <w:col w:w="10460"/>
          </w:cols>
          <w:pgMar w:left="320" w:top="447" w:right="11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10. Short-term borrowing</w:t>
      </w:r>
    </w:p>
    <w:p>
      <w:pPr>
        <w:spacing w:after="0" w:line="224"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4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As of</w:t>
            </w:r>
          </w:p>
        </w:tc>
      </w:tr>
      <w:tr>
        <w:trPr>
          <w:trHeight w:val="125"/>
        </w:trPr>
        <w:tc>
          <w:tcPr>
            <w:tcW w:w="480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80"/>
              <w:spacing w:after="0" w:line="125" w:lineRule="exact"/>
              <w:rPr>
                <w:sz w:val="20"/>
                <w:szCs w:val="20"/>
                <w:color w:val="auto"/>
              </w:rPr>
            </w:pPr>
            <w:r>
              <w:rPr>
                <w:rFonts w:ascii="Times New Roman" w:cs="Times New Roman" w:eastAsia="Times New Roman" w:hAnsi="Times New Roman"/>
                <w:sz w:val="13"/>
                <w:szCs w:val="13"/>
                <w:color w:val="auto"/>
                <w:w w:val="95"/>
              </w:rPr>
              <w:t>December 31, 2021</w:t>
            </w:r>
          </w:p>
        </w:tc>
        <w:tc>
          <w:tcPr>
            <w:tcW w:w="5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w w:val="95"/>
              </w:rPr>
              <w:t>December 31, 2022</w:t>
            </w:r>
          </w:p>
        </w:tc>
        <w:tc>
          <w:tcPr>
            <w:tcW w:w="40" w:type="dxa"/>
            <w:vAlign w:val="bottom"/>
          </w:tcPr>
          <w:p>
            <w:pPr>
              <w:spacing w:after="0"/>
              <w:rPr>
                <w:sz w:val="10"/>
                <w:szCs w:val="10"/>
                <w:color w:val="auto"/>
              </w:rPr>
            </w:pPr>
          </w:p>
        </w:tc>
      </w:tr>
      <w:tr>
        <w:trPr>
          <w:trHeight w:val="125"/>
        </w:trPr>
        <w:tc>
          <w:tcPr>
            <w:tcW w:w="4800" w:type="dxa"/>
            <w:vAlign w:val="bottom"/>
          </w:tcPr>
          <w:p>
            <w:pPr>
              <w:spacing w:after="0"/>
              <w:rPr>
                <w:sz w:val="10"/>
                <w:szCs w:val="10"/>
                <w:color w:val="auto"/>
              </w:rPr>
            </w:pPr>
          </w:p>
        </w:tc>
        <w:tc>
          <w:tcPr>
            <w:tcW w:w="1000" w:type="dxa"/>
            <w:vAlign w:val="bottom"/>
            <w:tcBorders>
              <w:top w:val="single" w:sz="8" w:color="auto"/>
            </w:tcBorders>
          </w:tcPr>
          <w:p>
            <w:pPr>
              <w:jc w:val="right"/>
              <w:ind w:right="286"/>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Borders>
              <w:top w:val="single" w:sz="8" w:color="auto"/>
            </w:tcBorders>
          </w:tcPr>
          <w:p>
            <w:pPr>
              <w:jc w:val="right"/>
              <w:ind w:right="310"/>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40" w:type="dxa"/>
            <w:vAlign w:val="bottom"/>
          </w:tcPr>
          <w:p>
            <w:pPr>
              <w:spacing w:after="0"/>
              <w:rPr>
                <w:sz w:val="10"/>
                <w:szCs w:val="10"/>
                <w:color w:val="auto"/>
              </w:rPr>
            </w:pPr>
          </w:p>
        </w:tc>
      </w:tr>
      <w:tr>
        <w:trPr>
          <w:trHeight w:val="19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borrowings (1)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80" w:type="dxa"/>
            <w:vAlign w:val="bottom"/>
            <w:shd w:val="clear" w:color="auto" w:fill="CCEEFF"/>
          </w:tcPr>
          <w:p>
            <w:pPr>
              <w:spacing w:after="0"/>
              <w:rPr>
                <w:sz w:val="16"/>
                <w:szCs w:val="16"/>
                <w:color w:val="auto"/>
              </w:rPr>
            </w:pPr>
          </w:p>
        </w:tc>
        <w:tc>
          <w:tcPr>
            <w:tcW w:w="1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130,000</w:t>
            </w:r>
          </w:p>
        </w:tc>
      </w:tr>
      <w:tr>
        <w:trPr>
          <w:trHeight w:val="197"/>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long-term borrowings (note 14)</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46,710</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20,000</w:t>
            </w:r>
          </w:p>
        </w:tc>
      </w:tr>
      <w:tr>
        <w:trPr>
          <w:trHeight w:val="193"/>
        </w:trPr>
        <w:tc>
          <w:tcPr>
            <w:tcW w:w="4800" w:type="dxa"/>
            <w:vAlign w:val="bottom"/>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216,710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40" w:type="dxa"/>
            <w:vAlign w:val="bottom"/>
            <w:shd w:val="clear" w:color="auto" w:fill="CCEEFF"/>
          </w:tcPr>
          <w:p>
            <w:pPr>
              <w:spacing w:after="0"/>
              <w:rPr>
                <w:sz w:val="16"/>
                <w:szCs w:val="16"/>
                <w:color w:val="auto"/>
              </w:rPr>
            </w:pPr>
          </w:p>
        </w:tc>
      </w:tr>
      <w:tr>
        <w:trPr>
          <w:trHeight w:val="20"/>
        </w:trPr>
        <w:tc>
          <w:tcPr>
            <w:tcW w:w="4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2" w:lineRule="exact"/>
        <w:rPr>
          <w:sz w:val="20"/>
          <w:szCs w:val="20"/>
          <w:color w:val="auto"/>
        </w:rPr>
      </w:pPr>
    </w:p>
    <w:p>
      <w:pPr>
        <w:ind w:left="1580" w:right="40" w:hanging="487"/>
        <w:spacing w:after="0" w:line="284" w:lineRule="auto"/>
        <w:tabs>
          <w:tab w:leader="none" w:pos="1580"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obtained short-term borrowings to support its operation. The borrowings bear interest ranging from 4.30% to 5.00% for the year ended December 31, 2021 and interest ranging from 4.60% to 5.00% for the year ended December 31, 2022.</w:t>
      </w:r>
    </w:p>
    <w:p>
      <w:pPr>
        <w:spacing w:after="0" w:line="237" w:lineRule="exact"/>
        <w:rPr>
          <w:rFonts w:ascii="Times New Roman" w:cs="Times New Roman" w:eastAsia="Times New Roman" w:hAnsi="Times New Roman"/>
          <w:sz w:val="16"/>
          <w:szCs w:val="16"/>
          <w:color w:val="auto"/>
        </w:rPr>
      </w:pPr>
    </w:p>
    <w:p>
      <w:pPr>
        <w:ind w:left="940" w:hanging="233"/>
        <w:spacing w:after="0"/>
        <w:tabs>
          <w:tab w:leader="none" w:pos="940" w:val="left"/>
        </w:tabs>
        <w:numPr>
          <w:ilvl w:val="0"/>
          <w:numId w:val="1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payables and accrued expenses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Other payable and accrued expenses consist of the following:</w:t>
      </w:r>
    </w:p>
    <w:p>
      <w:pPr>
        <w:spacing w:after="0" w:line="222"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4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As of</w:t>
            </w:r>
          </w:p>
        </w:tc>
      </w:tr>
      <w:tr>
        <w:trPr>
          <w:trHeight w:val="125"/>
        </w:trPr>
        <w:tc>
          <w:tcPr>
            <w:tcW w:w="4740" w:type="dxa"/>
            <w:vAlign w:val="bottom"/>
          </w:tcPr>
          <w:p>
            <w:pPr>
              <w:spacing w:after="0"/>
              <w:rPr>
                <w:sz w:val="10"/>
                <w:szCs w:val="10"/>
                <w:color w:val="auto"/>
              </w:rPr>
            </w:pPr>
          </w:p>
        </w:tc>
        <w:tc>
          <w:tcPr>
            <w:tcW w:w="112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3"/>
                <w:szCs w:val="13"/>
                <w:color w:val="auto"/>
              </w:rPr>
              <w:t>December 31, 2021</w:t>
            </w:r>
          </w:p>
        </w:tc>
        <w:tc>
          <w:tcPr>
            <w:tcW w:w="5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w w:val="95"/>
              </w:rPr>
              <w:t>December 31, 2022</w:t>
            </w:r>
          </w:p>
        </w:tc>
        <w:tc>
          <w:tcPr>
            <w:tcW w:w="40" w:type="dxa"/>
            <w:vAlign w:val="bottom"/>
          </w:tcPr>
          <w:p>
            <w:pPr>
              <w:spacing w:after="0"/>
              <w:rPr>
                <w:sz w:val="10"/>
                <w:szCs w:val="10"/>
                <w:color w:val="auto"/>
              </w:rPr>
            </w:pPr>
          </w:p>
        </w:tc>
      </w:tr>
      <w:tr>
        <w:trPr>
          <w:trHeight w:val="125"/>
        </w:trPr>
        <w:tc>
          <w:tcPr>
            <w:tcW w:w="4740" w:type="dxa"/>
            <w:vAlign w:val="bottom"/>
          </w:tcPr>
          <w:p>
            <w:pPr>
              <w:spacing w:after="0"/>
              <w:rPr>
                <w:sz w:val="10"/>
                <w:szCs w:val="10"/>
                <w:color w:val="auto"/>
              </w:rPr>
            </w:pPr>
          </w:p>
        </w:tc>
        <w:tc>
          <w:tcPr>
            <w:tcW w:w="1020" w:type="dxa"/>
            <w:vAlign w:val="bottom"/>
            <w:tcBorders>
              <w:top w:val="single" w:sz="8" w:color="auto"/>
            </w:tcBorders>
          </w:tcPr>
          <w:p>
            <w:pPr>
              <w:jc w:val="right"/>
              <w:ind w:right="282"/>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Borders>
              <w:top w:val="single" w:sz="8" w:color="auto"/>
            </w:tcBorders>
          </w:tcPr>
          <w:p>
            <w:pPr>
              <w:jc w:val="right"/>
              <w:ind w:right="310"/>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40" w:type="dxa"/>
            <w:vAlign w:val="bottom"/>
          </w:tcPr>
          <w:p>
            <w:pPr>
              <w:spacing w:after="0"/>
              <w:rPr>
                <w:sz w:val="10"/>
                <w:szCs w:val="10"/>
                <w:color w:val="auto"/>
              </w:rPr>
            </w:pP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tax payables</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32,006</w:t>
            </w: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14,994</w:t>
            </w: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 to suppliers</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17,365</w:t>
            </w: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8,915</w:t>
            </w: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marketing expense -loyalty points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w:t>
            </w:r>
          </w:p>
        </w:tc>
        <w:tc>
          <w:tcPr>
            <w:tcW w:w="10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4,643</w:t>
            </w: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7,068</w:t>
            </w:r>
          </w:p>
        </w:tc>
        <w:tc>
          <w:tcPr>
            <w:tcW w:w="100" w:type="dxa"/>
            <w:vAlign w:val="bottom"/>
          </w:tcPr>
          <w:p>
            <w:pPr>
              <w:spacing w:after="0"/>
              <w:rPr>
                <w:sz w:val="16"/>
                <w:szCs w:val="16"/>
                <w:color w:val="auto"/>
              </w:rPr>
            </w:pP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6,211</w:t>
            </w: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Advances from the insured</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3,211</w:t>
            </w: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3,251</w:t>
            </w: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Interest payable</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655</w:t>
            </w: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746</w:t>
            </w: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Deposits</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625</w:t>
            </w: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258</w:t>
            </w: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Withholding social security costs and housing benefits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Pr>
          <w:p>
            <w:pPr>
              <w:spacing w:after="0"/>
              <w:rPr>
                <w:sz w:val="16"/>
                <w:szCs w:val="16"/>
                <w:color w:val="auto"/>
              </w:rPr>
            </w:pP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14,717</w:t>
            </w: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2,395</w:t>
            </w:r>
          </w:p>
        </w:tc>
      </w:tr>
      <w:tr>
        <w:trPr>
          <w:trHeight w:val="197"/>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40" w:type="dxa"/>
            <w:vAlign w:val="bottom"/>
          </w:tcPr>
          <w:p>
            <w:pPr>
              <w:spacing w:after="0"/>
              <w:rPr>
                <w:sz w:val="17"/>
                <w:szCs w:val="17"/>
                <w:color w:val="auto"/>
              </w:rPr>
            </w:pPr>
          </w:p>
        </w:tc>
      </w:tr>
      <w:tr>
        <w:trPr>
          <w:trHeight w:val="193"/>
        </w:trPr>
        <w:tc>
          <w:tcPr>
            <w:tcW w:w="47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71,255</w:t>
            </w: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58,251</w:t>
            </w:r>
          </w:p>
        </w:tc>
      </w:tr>
      <w:tr>
        <w:trPr>
          <w:trHeight w:val="20"/>
        </w:trPr>
        <w:tc>
          <w:tcPr>
            <w:tcW w:w="4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12. Employee benefits</w:t>
      </w:r>
    </w:p>
    <w:p>
      <w:pPr>
        <w:spacing w:after="0" w:line="107" w:lineRule="exact"/>
        <w:rPr>
          <w:sz w:val="20"/>
          <w:szCs w:val="20"/>
          <w:color w:val="auto"/>
        </w:rPr>
      </w:pPr>
    </w:p>
    <w:p>
      <w:pPr>
        <w:ind w:left="700" w:firstLine="393"/>
        <w:spacing w:after="0" w:line="258" w:lineRule="auto"/>
        <w:rPr>
          <w:sz w:val="20"/>
          <w:szCs w:val="20"/>
          <w:color w:val="auto"/>
        </w:rPr>
      </w:pPr>
      <w:r>
        <w:rPr>
          <w:rFonts w:ascii="Times New Roman" w:cs="Times New Roman" w:eastAsia="Times New Roman" w:hAnsi="Times New Roman"/>
          <w:sz w:val="16"/>
          <w:szCs w:val="16"/>
          <w:color w:val="auto"/>
        </w:rPr>
        <w:t>Full-time employees of the Group in the PRC are entitled to welfare benefits including pension insurance, medical insurance unemployment insurance, maternity insurance, on-the-job injury insurance, and housing fund plans through a PRC government-mandated defined contribution plan. Chinese labor regulations require that the Group makes contributions to the government for these benefits based on certain percentages of the employees’ salaries, up to a maximum amount specified by the local government. The Group has no legal obligation for the benefits beyond the contributions. Total contributions by the Group for such employee benefits were RMB18,924, RMB64,238 and RMB54,641 for the years ended December 31, 2020, 2021 and 2022, respectively.</w:t>
      </w:r>
    </w:p>
    <w:p>
      <w:pPr>
        <w:spacing w:after="0" w:line="1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F-47</w:t>
      </w:r>
    </w:p>
    <w:p>
      <w:pPr>
        <w:sectPr>
          <w:pgSz w:w="11900" w:h="16838" w:orient="portrait"/>
          <w:cols w:equalWidth="0" w:num="1">
            <w:col w:w="10260"/>
          </w:cols>
          <w:pgMar w:left="320" w:top="447" w:right="131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23" w:lineRule="exact"/>
        <w:rPr>
          <w:sz w:val="20"/>
          <w:szCs w:val="20"/>
          <w:color w:val="auto"/>
        </w:rPr>
      </w:pPr>
    </w:p>
    <w:p>
      <w:pPr>
        <w:ind w:left="1100" w:right="8400" w:hanging="393"/>
        <w:spacing w:after="0" w:line="378" w:lineRule="auto"/>
        <w:tabs>
          <w:tab w:leader="none" w:pos="948" w:val="left"/>
        </w:tabs>
        <w:numPr>
          <w:ilvl w:val="0"/>
          <w:numId w:val="1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Income taxes </w:t>
      </w:r>
      <w:r>
        <w:rPr>
          <w:rFonts w:ascii="Times New Roman" w:cs="Times New Roman" w:eastAsia="Times New Roman" w:hAnsi="Times New Roman"/>
          <w:sz w:val="16"/>
          <w:szCs w:val="16"/>
          <w:i w:val="1"/>
          <w:iCs w:val="1"/>
          <w:color w:val="auto"/>
        </w:rPr>
        <w:t>Cayman Islands</w:t>
      </w:r>
    </w:p>
    <w:p>
      <w:pPr>
        <w:spacing w:after="0" w:line="1" w:lineRule="exact"/>
        <w:rPr>
          <w:sz w:val="20"/>
          <w:szCs w:val="20"/>
          <w:color w:val="auto"/>
        </w:rPr>
      </w:pPr>
    </w:p>
    <w:p>
      <w:pPr>
        <w:ind w:left="700" w:right="460" w:firstLine="393"/>
        <w:spacing w:after="0" w:line="284" w:lineRule="auto"/>
        <w:rPr>
          <w:sz w:val="20"/>
          <w:szCs w:val="20"/>
          <w:color w:val="auto"/>
        </w:rPr>
      </w:pPr>
      <w:r>
        <w:rPr>
          <w:rFonts w:ascii="Times New Roman" w:cs="Times New Roman" w:eastAsia="Times New Roman" w:hAnsi="Times New Roman"/>
          <w:sz w:val="16"/>
          <w:szCs w:val="16"/>
          <w:color w:val="auto"/>
        </w:rPr>
        <w:t>The Company was incorporated in the Cayman Islands. Under the current laws of the Cayman Islands, the Company is not subject to tax on income or capital gain. Additionally, upon payments of dividends to the shareholders, no Cayman Islands withholding tax will be imposed.</w:t>
      </w:r>
    </w:p>
    <w:p>
      <w:pPr>
        <w:spacing w:after="0" w:line="23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Hong Kong</w:t>
      </w:r>
    </w:p>
    <w:p>
      <w:pPr>
        <w:spacing w:after="0" w:line="107" w:lineRule="exact"/>
        <w:rPr>
          <w:sz w:val="20"/>
          <w:szCs w:val="20"/>
          <w:color w:val="auto"/>
        </w:rPr>
      </w:pPr>
    </w:p>
    <w:p>
      <w:pPr>
        <w:jc w:val="both"/>
        <w:ind w:left="700" w:right="300" w:firstLine="393"/>
        <w:spacing w:after="0" w:line="267" w:lineRule="auto"/>
        <w:rPr>
          <w:sz w:val="20"/>
          <w:szCs w:val="20"/>
          <w:color w:val="auto"/>
        </w:rPr>
      </w:pPr>
      <w:r>
        <w:rPr>
          <w:rFonts w:ascii="Times New Roman" w:cs="Times New Roman" w:eastAsia="Times New Roman" w:hAnsi="Times New Roman"/>
          <w:sz w:val="16"/>
          <w:szCs w:val="16"/>
          <w:color w:val="auto"/>
        </w:rPr>
        <w:t>Under the current Hong Kong Inland Revenue Ordinance, the subsidiary established in Hong Kong is subject to 16.5% income tax rate on its taxable income generated from operations in Hong Kong. Additionally, payments of dividends by the subsidiaries incorporated in Hong Kong to the Company are not subject to any Hong Kong withholding tax.</w:t>
      </w:r>
    </w:p>
    <w:p>
      <w:pPr>
        <w:spacing w:after="0" w:line="2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China</w:t>
      </w:r>
    </w:p>
    <w:p>
      <w:pPr>
        <w:spacing w:after="0" w:line="107" w:lineRule="exact"/>
        <w:rPr>
          <w:sz w:val="20"/>
          <w:szCs w:val="20"/>
          <w:color w:val="auto"/>
        </w:rPr>
      </w:pPr>
    </w:p>
    <w:p>
      <w:pPr>
        <w:ind w:left="700" w:right="220" w:firstLine="393"/>
        <w:spacing w:after="0" w:line="284" w:lineRule="auto"/>
        <w:rPr>
          <w:sz w:val="20"/>
          <w:szCs w:val="20"/>
          <w:color w:val="auto"/>
        </w:rPr>
      </w:pPr>
      <w:r>
        <w:rPr>
          <w:rFonts w:ascii="Times New Roman" w:cs="Times New Roman" w:eastAsia="Times New Roman" w:hAnsi="Times New Roman"/>
          <w:sz w:val="16"/>
          <w:szCs w:val="16"/>
          <w:color w:val="auto"/>
        </w:rPr>
        <w:t>The Company’s subsidiaries, consolidated VIE and subsidiary of the VIE established in the PRC are mainly subject to statutory income tax at a rate of 25%.</w:t>
      </w:r>
    </w:p>
    <w:p>
      <w:pPr>
        <w:spacing w:after="0" w:line="143" w:lineRule="exact"/>
        <w:rPr>
          <w:sz w:val="20"/>
          <w:szCs w:val="20"/>
          <w:color w:val="auto"/>
        </w:rPr>
      </w:pPr>
    </w:p>
    <w:p>
      <w:pPr>
        <w:jc w:val="both"/>
        <w:ind w:left="700" w:firstLine="393"/>
        <w:spacing w:after="0" w:line="258" w:lineRule="auto"/>
        <w:rPr>
          <w:sz w:val="20"/>
          <w:szCs w:val="20"/>
          <w:color w:val="auto"/>
        </w:rPr>
      </w:pPr>
      <w:r>
        <w:rPr>
          <w:rFonts w:ascii="Times New Roman" w:cs="Times New Roman" w:eastAsia="Times New Roman" w:hAnsi="Times New Roman"/>
          <w:sz w:val="16"/>
          <w:szCs w:val="16"/>
          <w:color w:val="auto"/>
        </w:rPr>
        <w:t>On April 14, 2008, relevant governmental regulatory authorities released qualification criteria, application procedures and assessment processes for “high and new technology enterprises” (“HNTE”). The HNTE will be entitled to a favorable statutory tax rate of 15%. An enterprise’s qualification as a HNTE is reassessed by the relevant PRC governmental authorities every three years. On November 2, 2018, the local governments announced that Huize Shidai was qualified as HNTE and was subject to a preferential statutory tax rate of 15% since then. On October 9, 2021, the Chengdu Huize was also qualified as HNTE and was subject to a preferential statutory tax rate of 15% since then. Accordingly, Huize Shidai and Chengdu Huize are taxed at a rate of 15%, subject to reassessment.</w:t>
      </w:r>
    </w:p>
    <w:p>
      <w:pPr>
        <w:spacing w:after="0" w:line="163" w:lineRule="exact"/>
        <w:rPr>
          <w:sz w:val="20"/>
          <w:szCs w:val="20"/>
          <w:color w:val="auto"/>
        </w:rPr>
      </w:pPr>
    </w:p>
    <w:p>
      <w:pPr>
        <w:ind w:left="700" w:right="60" w:firstLine="393"/>
        <w:spacing w:after="0" w:line="256" w:lineRule="auto"/>
        <w:rPr>
          <w:sz w:val="20"/>
          <w:szCs w:val="20"/>
          <w:color w:val="auto"/>
        </w:rPr>
      </w:pPr>
      <w:r>
        <w:rPr>
          <w:rFonts w:ascii="Times New Roman" w:cs="Times New Roman" w:eastAsia="Times New Roman" w:hAnsi="Times New Roman"/>
          <w:sz w:val="16"/>
          <w:szCs w:val="16"/>
          <w:color w:val="auto"/>
        </w:rPr>
        <w:t>The Enterprise Income Tax (“EIT”) Law includes a provision specifying that legal entities organized outside of the PRC will be considered resident enterprises for the PRC income tax purposes if the place of effective management or control is within the PRC. The implementation rules to the EIT Law provide that non-resident legal entities will be considered as PRC resident enterprises if substantial and overall management and control over the manufacturing and business operations, personnel, accounting, properties, etc., occurs within the PRC. Despite the present uncertainties resulting from the limited PRC tax guidance on the issue, the Group does not believe that the Group’s entities organized outside of the PRC should be treated as resident enterprises for the PRC income tax purposes. If the PRC tax authorities subsequently determine that the Company and its subsidiary registered outside the PRC should be deemed resident enterprises, the Company and its subsidiary registered outside the PRC will be subject to the PRC income tax, at a rate of 25%.</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F-48</w:t>
      </w:r>
    </w:p>
    <w:p>
      <w:pPr>
        <w:sectPr>
          <w:pgSz w:w="11900" w:h="16838" w:orient="portrait"/>
          <w:cols w:equalWidth="0" w:num="1">
            <w:col w:w="10540"/>
          </w:cols>
          <w:pgMar w:left="320" w:top="447" w:right="10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13. Income taxes (Continued)</w:t>
      </w:r>
    </w:p>
    <w:p>
      <w:pPr>
        <w:spacing w:after="0" w:line="107" w:lineRule="exact"/>
        <w:rPr>
          <w:sz w:val="20"/>
          <w:szCs w:val="20"/>
          <w:color w:val="auto"/>
        </w:rPr>
      </w:pPr>
    </w:p>
    <w:p>
      <w:pPr>
        <w:ind w:left="700" w:right="20" w:firstLine="393"/>
        <w:spacing w:after="0" w:line="254" w:lineRule="auto"/>
        <w:rPr>
          <w:sz w:val="20"/>
          <w:szCs w:val="20"/>
          <w:color w:val="auto"/>
        </w:rPr>
      </w:pPr>
      <w:r>
        <w:rPr>
          <w:rFonts w:ascii="Times New Roman" w:cs="Times New Roman" w:eastAsia="Times New Roman" w:hAnsi="Times New Roman"/>
          <w:sz w:val="16"/>
          <w:szCs w:val="16"/>
          <w:color w:val="auto"/>
        </w:rPr>
        <w:t>The EIT Law also imposes a withholding income tax of 10% on dividends distributed by a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the Company incorporated, does not have such tax treaty with China. According to the arrangement between the mainland China and Hong Kong Special Administrative Region on the Avoidance of Double Taxation and Prevention of Fiscal Evasion in August 2006, dividends paid by an FIE in China to its immediate holding company in Hong Kong will be subject to withholding tax at a rate of no more than 5% (if the foreign investor owns directly at least 25% of the shares of the FIE). In accordance with accounting guidance, all undistributed earnings are presumed to be transferred to the parent company and are subject to the withholding taxes. All FIEs are subject to the withholding tax from January 1, 2008. Under U.S. GAAP, undistributed earnings are presumed to be transferred to the parent company and are subject to the withholding taxes. The presumption may be overcome if the Group has sufficient evidence to demonstrate that the undistributed dividends will be re-invested and the remittance of the dividends will be postponed indefinitely. The Group does not intend to have any of its PRC subsidiaries or VIEs distribute any undistributed profits of such subsidiaries or VIEs to their direct overseas parent companies, but rather intends that such profits will be permanently reinvested by such subsidiaries and VIEs for their PRC operations. As of December 31, 2022, the VIEs are in accumulative loss situation and no withholding tax needs to be accrued.</w:t>
      </w:r>
    </w:p>
    <w:p>
      <w:pPr>
        <w:spacing w:after="0" w:line="2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Composition of income tax expense</w:t>
      </w:r>
    </w:p>
    <w:p>
      <w:pPr>
        <w:spacing w:after="0" w:line="107"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The current and deferred portions of income tax expense included in the consolidated statements of comprehensive income/(loss) during the years ended December 31, 2020, 2021 and 2022 are as follows:</w:t>
      </w:r>
    </w:p>
    <w:p>
      <w:pPr>
        <w:spacing w:after="0" w:line="164" w:lineRule="exact"/>
        <w:rPr>
          <w:sz w:val="20"/>
          <w:szCs w:val="20"/>
          <w:color w:val="auto"/>
        </w:rPr>
      </w:pPr>
    </w:p>
    <w:tbl>
      <w:tblPr>
        <w:tblLayout w:type="fixed"/>
        <w:tblInd w:w="15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120" w:type="dxa"/>
            <w:vAlign w:val="bottom"/>
            <w:gridSpan w:val="6"/>
          </w:tcPr>
          <w:p>
            <w:pPr>
              <w:ind w:left="160"/>
              <w:spacing w:after="0"/>
              <w:rPr>
                <w:sz w:val="20"/>
                <w:szCs w:val="20"/>
                <w:color w:val="auto"/>
              </w:rPr>
            </w:pPr>
            <w:r>
              <w:rPr>
                <w:rFonts w:ascii="Times New Roman" w:cs="Times New Roman" w:eastAsia="Times New Roman" w:hAnsi="Times New Roman"/>
                <w:sz w:val="13"/>
                <w:szCs w:val="13"/>
                <w:color w:val="auto"/>
              </w:rPr>
              <w:t>For the Year Ended December 31,</w:t>
            </w:r>
          </w:p>
        </w:tc>
      </w:tr>
      <w:tr>
        <w:trPr>
          <w:trHeight w:val="125"/>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560" w:type="dxa"/>
            <w:vAlign w:val="bottom"/>
            <w:tcBorders>
              <w:top w:val="single" w:sz="8" w:color="auto"/>
            </w:tcBorders>
          </w:tcPr>
          <w:p>
            <w:pPr>
              <w:jc w:val="right"/>
              <w:ind w:right="89"/>
              <w:spacing w:after="0" w:line="125" w:lineRule="exact"/>
              <w:rPr>
                <w:sz w:val="20"/>
                <w:szCs w:val="20"/>
                <w:color w:val="auto"/>
              </w:rPr>
            </w:pPr>
            <w:r>
              <w:rPr>
                <w:rFonts w:ascii="Times New Roman" w:cs="Times New Roman" w:eastAsia="Times New Roman" w:hAnsi="Times New Roman"/>
                <w:sz w:val="13"/>
                <w:szCs w:val="13"/>
                <w:color w:val="auto"/>
              </w:rPr>
              <w:t>2020</w:t>
            </w:r>
          </w:p>
        </w:tc>
        <w:tc>
          <w:tcPr>
            <w:tcW w:w="3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2021</w:t>
            </w:r>
          </w:p>
        </w:tc>
        <w:tc>
          <w:tcPr>
            <w:tcW w:w="780" w:type="dxa"/>
            <w:vAlign w:val="bottom"/>
            <w:tcBorders>
              <w:top w:val="single" w:sz="8" w:color="auto"/>
            </w:tcBorders>
            <w:gridSpan w:val="2"/>
          </w:tcPr>
          <w:p>
            <w:pPr>
              <w:jc w:val="right"/>
              <w:ind w:right="4"/>
              <w:spacing w:after="0" w:line="125" w:lineRule="exact"/>
              <w:rPr>
                <w:sz w:val="20"/>
                <w:szCs w:val="20"/>
                <w:color w:val="auto"/>
              </w:rPr>
            </w:pPr>
            <w:r>
              <w:rPr>
                <w:rFonts w:ascii="Times New Roman" w:cs="Times New Roman" w:eastAsia="Times New Roman" w:hAnsi="Times New Roman"/>
                <w:sz w:val="13"/>
                <w:szCs w:val="13"/>
                <w:color w:val="auto"/>
              </w:rPr>
              <w:t>2022</w:t>
            </w:r>
          </w:p>
        </w:tc>
        <w:tc>
          <w:tcPr>
            <w:tcW w:w="6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560" w:type="dxa"/>
            <w:vAlign w:val="bottom"/>
            <w:tcBorders>
              <w:top w:val="single" w:sz="8" w:color="auto"/>
            </w:tcBorders>
          </w:tcPr>
          <w:p>
            <w:pPr>
              <w:jc w:val="right"/>
              <w:ind w:right="69"/>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340" w:type="dxa"/>
            <w:vAlign w:val="bottom"/>
          </w:tcPr>
          <w:p>
            <w:pPr>
              <w:spacing w:after="0"/>
              <w:rPr>
                <w:sz w:val="10"/>
                <w:szCs w:val="10"/>
                <w:color w:val="auto"/>
              </w:rPr>
            </w:pPr>
          </w:p>
        </w:tc>
        <w:tc>
          <w:tcPr>
            <w:tcW w:w="3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360" w:type="dxa"/>
            <w:vAlign w:val="bottom"/>
          </w:tcPr>
          <w:p>
            <w:pPr>
              <w:spacing w:after="0"/>
              <w:rPr>
                <w:sz w:val="10"/>
                <w:szCs w:val="10"/>
                <w:color w:val="auto"/>
              </w:rPr>
            </w:pPr>
          </w:p>
        </w:tc>
        <w:tc>
          <w:tcPr>
            <w:tcW w:w="4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60" w:type="dxa"/>
            <w:vAlign w:val="bottom"/>
          </w:tcPr>
          <w:p>
            <w:pPr>
              <w:spacing w:after="0"/>
              <w:rPr>
                <w:sz w:val="10"/>
                <w:szCs w:val="10"/>
                <w:color w:val="auto"/>
              </w:rPr>
            </w:pPr>
          </w:p>
        </w:tc>
      </w:tr>
      <w:tr>
        <w:trPr>
          <w:trHeight w:val="193"/>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(benefit)/expense</w:t>
            </w:r>
          </w:p>
        </w:tc>
        <w:tc>
          <w:tcPr>
            <w:tcW w:w="292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(466)</w:t>
            </w: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920" w:type="dxa"/>
            <w:vAlign w:val="bottom"/>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340" w:type="dxa"/>
            <w:vAlign w:val="bottom"/>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820" w:type="dxa"/>
            <w:vAlign w:val="bottom"/>
            <w:gridSpan w:val="3"/>
          </w:tcPr>
          <w:p>
            <w:pPr>
              <w:jc w:val="right"/>
              <w:ind w:right="2760"/>
              <w:spacing w:after="0"/>
              <w:rPr>
                <w:sz w:val="20"/>
                <w:szCs w:val="20"/>
                <w:color w:val="auto"/>
              </w:rPr>
            </w:pPr>
            <w:r>
              <w:rPr>
                <w:rFonts w:ascii="Times New Roman" w:cs="Times New Roman" w:eastAsia="Times New Roman" w:hAnsi="Times New Roman"/>
                <w:sz w:val="16"/>
                <w:szCs w:val="16"/>
                <w:color w:val="auto"/>
              </w:rPr>
              <w:t>F-49</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480"/>
          </w:cols>
          <w:pgMar w:left="320" w:top="447" w:right="10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jc w:val="center"/>
        <w:ind w:right="6960"/>
        <w:spacing w:after="0"/>
        <w:rPr>
          <w:sz w:val="20"/>
          <w:szCs w:val="20"/>
          <w:color w:val="auto"/>
        </w:rPr>
      </w:pPr>
      <w:r>
        <w:rPr>
          <w:rFonts w:ascii="Times New Roman" w:cs="Times New Roman" w:eastAsia="Times New Roman" w:hAnsi="Times New Roman"/>
          <w:sz w:val="16"/>
          <w:szCs w:val="16"/>
          <w:b w:val="1"/>
          <w:bCs w:val="1"/>
          <w:color w:val="auto"/>
        </w:rPr>
        <w:t>13. Income taxes (Continued)</w:t>
      </w:r>
    </w:p>
    <w:p>
      <w:pPr>
        <w:spacing w:after="0" w:line="141" w:lineRule="exact"/>
        <w:rPr>
          <w:sz w:val="20"/>
          <w:szCs w:val="20"/>
          <w:color w:val="auto"/>
        </w:rPr>
      </w:pPr>
    </w:p>
    <w:p>
      <w:pPr>
        <w:jc w:val="center"/>
        <w:ind w:right="6980"/>
        <w:spacing w:after="0"/>
        <w:rPr>
          <w:sz w:val="20"/>
          <w:szCs w:val="20"/>
          <w:color w:val="auto"/>
        </w:rPr>
      </w:pPr>
      <w:r>
        <w:rPr>
          <w:rFonts w:ascii="Times New Roman" w:cs="Times New Roman" w:eastAsia="Times New Roman" w:hAnsi="Times New Roman"/>
          <w:sz w:val="16"/>
          <w:szCs w:val="16"/>
          <w:i w:val="1"/>
          <w:iCs w:val="1"/>
          <w:color w:val="auto"/>
        </w:rPr>
        <w:t>Tax Reconciliation</w:t>
      </w:r>
    </w:p>
    <w:p>
      <w:pPr>
        <w:spacing w:after="0" w:line="107"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Reconciliation between the income tax expense computed by applying the EIT tax rate to income before income taxes and actual provision were as follows:</w:t>
      </w:r>
    </w:p>
    <w:p>
      <w:pPr>
        <w:spacing w:after="0" w:line="164" w:lineRule="exact"/>
        <w:rPr>
          <w:sz w:val="20"/>
          <w:szCs w:val="20"/>
          <w:color w:val="auto"/>
        </w:rPr>
      </w:pPr>
    </w:p>
    <w:tbl>
      <w:tblPr>
        <w:tblLayout w:type="fixed"/>
        <w:tblInd w:w="1500" w:type="dxa"/>
        <w:tblCellMar>
          <w:top w:w="0" w:type="dxa"/>
          <w:left w:w="0" w:type="dxa"/>
          <w:bottom w:w="0" w:type="dxa"/>
          <w:right w:w="0" w:type="dxa"/>
        </w:tblCellMar>
      </w:tblPr>
      <w:tr>
        <w:trPr>
          <w:trHeight w:val="153"/>
        </w:trPr>
        <w:tc>
          <w:tcPr>
            <w:tcW w:w="6060" w:type="dxa"/>
            <w:vAlign w:val="bottom"/>
          </w:tcPr>
          <w:p>
            <w:pPr>
              <w:spacing w:after="0"/>
              <w:rPr>
                <w:sz w:val="13"/>
                <w:szCs w:val="13"/>
                <w:color w:val="auto"/>
              </w:rPr>
            </w:pPr>
          </w:p>
        </w:tc>
        <w:tc>
          <w:tcPr>
            <w:tcW w:w="220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color w:val="auto"/>
                <w:w w:val="97"/>
              </w:rPr>
              <w:t>For the Year Ended December 31,</w:t>
            </w:r>
          </w:p>
        </w:tc>
      </w:tr>
      <w:tr>
        <w:trPr>
          <w:trHeight w:val="125"/>
        </w:trPr>
        <w:tc>
          <w:tcPr>
            <w:tcW w:w="606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ind w:right="84"/>
              <w:spacing w:after="0" w:line="125" w:lineRule="exact"/>
              <w:rPr>
                <w:sz w:val="20"/>
                <w:szCs w:val="20"/>
                <w:color w:val="auto"/>
              </w:rPr>
            </w:pPr>
            <w:r>
              <w:rPr>
                <w:rFonts w:ascii="Times New Roman" w:cs="Times New Roman" w:eastAsia="Times New Roman" w:hAnsi="Times New Roman"/>
                <w:sz w:val="13"/>
                <w:szCs w:val="13"/>
                <w:color w:val="auto"/>
              </w:rPr>
              <w:t>2020</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9"/>
              </w:rPr>
              <w:t>2021</w:t>
            </w: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83"/>
              <w:spacing w:after="0" w:line="125" w:lineRule="exact"/>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0"/>
                <w:szCs w:val="10"/>
                <w:color w:val="auto"/>
              </w:rPr>
            </w:pPr>
          </w:p>
        </w:tc>
      </w:tr>
      <w:tr>
        <w:trPr>
          <w:trHeight w:val="125"/>
        </w:trPr>
        <w:tc>
          <w:tcPr>
            <w:tcW w:w="6060" w:type="dxa"/>
            <w:vAlign w:val="bottom"/>
          </w:tcPr>
          <w:p>
            <w:pPr>
              <w:spacing w:after="0"/>
              <w:rPr>
                <w:sz w:val="10"/>
                <w:szCs w:val="10"/>
                <w:color w:val="auto"/>
              </w:rPr>
            </w:pPr>
          </w:p>
        </w:tc>
        <w:tc>
          <w:tcPr>
            <w:tcW w:w="560" w:type="dxa"/>
            <w:vAlign w:val="bottom"/>
          </w:tcPr>
          <w:p>
            <w:pPr>
              <w:jc w:val="right"/>
              <w:ind w:right="64"/>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80" w:type="dxa"/>
            <w:vAlign w:val="bottom"/>
          </w:tcPr>
          <w:p>
            <w:pPr>
              <w:spacing w:after="0"/>
              <w:rPr>
                <w:sz w:val="10"/>
                <w:szCs w:val="10"/>
                <w:color w:val="auto"/>
              </w:rPr>
            </w:pP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180" w:type="dxa"/>
            <w:vAlign w:val="bottom"/>
          </w:tcPr>
          <w:p>
            <w:pPr>
              <w:spacing w:after="0"/>
              <w:rPr>
                <w:sz w:val="10"/>
                <w:szCs w:val="10"/>
                <w:color w:val="auto"/>
              </w:rPr>
            </w:pPr>
          </w:p>
        </w:tc>
        <w:tc>
          <w:tcPr>
            <w:tcW w:w="560" w:type="dxa"/>
            <w:vAlign w:val="bottom"/>
          </w:tcPr>
          <w:p>
            <w:pPr>
              <w:jc w:val="right"/>
              <w:ind w:right="63"/>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00" w:type="dxa"/>
            <w:vAlign w:val="bottom"/>
          </w:tcPr>
          <w:p>
            <w:pPr>
              <w:spacing w:after="0"/>
              <w:rPr>
                <w:sz w:val="10"/>
                <w:szCs w:val="10"/>
                <w:color w:val="auto"/>
              </w:rPr>
            </w:pPr>
          </w:p>
        </w:tc>
      </w:tr>
      <w:tr>
        <w:trPr>
          <w:trHeight w:val="193"/>
        </w:trPr>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Profit/(Loss) before income tax</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(16,524)</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(107,717)</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(33,740)</w:t>
            </w:r>
          </w:p>
        </w:tc>
      </w:tr>
      <w:tr>
        <w:trPr>
          <w:trHeight w:val="289"/>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Tax expense/(benefit) at EIT tax rate of 25%</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(4,131)</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(26,929)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(8,435)</w:t>
            </w:r>
          </w:p>
        </w:tc>
      </w:tr>
      <w:tr>
        <w:trPr>
          <w:trHeight w:val="193"/>
        </w:trPr>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Effect of different tax rates applicable to different subsidiaries of the Group</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(3,195)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(826)</w:t>
            </w:r>
          </w:p>
        </w:tc>
      </w:tr>
      <w:tr>
        <w:trPr>
          <w:trHeight w:val="193"/>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37,948</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16,154</w:t>
            </w:r>
          </w:p>
        </w:tc>
        <w:tc>
          <w:tcPr>
            <w:tcW w:w="100" w:type="dxa"/>
            <w:vAlign w:val="bottom"/>
          </w:tcPr>
          <w:p>
            <w:pPr>
              <w:spacing w:after="0"/>
              <w:rPr>
                <w:sz w:val="16"/>
                <w:szCs w:val="16"/>
                <w:color w:val="auto"/>
              </w:rPr>
            </w:pPr>
          </w:p>
        </w:tc>
      </w:tr>
      <w:tr>
        <w:trPr>
          <w:trHeight w:val="193"/>
        </w:trPr>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Income not subject to tax</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r>
      <w:tr>
        <w:trPr>
          <w:trHeight w:val="193"/>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Expenses not deductible for tax purposes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11,561</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5,608</w:t>
            </w:r>
          </w:p>
        </w:tc>
        <w:tc>
          <w:tcPr>
            <w:tcW w:w="100" w:type="dxa"/>
            <w:vAlign w:val="bottom"/>
          </w:tcPr>
          <w:p>
            <w:pPr>
              <w:spacing w:after="0"/>
              <w:rPr>
                <w:sz w:val="16"/>
                <w:szCs w:val="16"/>
                <w:color w:val="auto"/>
              </w:rPr>
            </w:pPr>
          </w:p>
        </w:tc>
      </w:tr>
      <w:tr>
        <w:trPr>
          <w:trHeight w:val="193"/>
        </w:trPr>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 tax credit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(7,408)</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(12,627)</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(12,442)</w:t>
            </w:r>
          </w:p>
        </w:tc>
      </w:tr>
      <w:tr>
        <w:trPr>
          <w:trHeight w:val="197"/>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Effect on deferred tax assets due to change in tax rates</w:t>
            </w:r>
          </w:p>
        </w:tc>
        <w:tc>
          <w:tcPr>
            <w:tcW w:w="5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80" w:type="dxa"/>
            <w:vAlign w:val="bottom"/>
          </w:tcPr>
          <w:p>
            <w:pPr>
              <w:spacing w:after="0"/>
              <w:rPr>
                <w:sz w:val="17"/>
                <w:szCs w:val="17"/>
                <w:color w:val="auto"/>
              </w:rPr>
            </w:pPr>
          </w:p>
        </w:tc>
        <w:tc>
          <w:tcPr>
            <w:tcW w:w="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193"/>
        </w:trPr>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Income tax expense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Deferred tax assets and deferred tax liabilities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following tables set forth the significant components of the deferred tax assets and deferred tax liabilities:</w:t>
      </w:r>
    </w:p>
    <w:p>
      <w:pPr>
        <w:spacing w:after="0" w:line="222"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3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2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color w:val="auto"/>
                <w:w w:val="95"/>
              </w:rPr>
              <w:t>December 31, 2021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5"/>
              </w:rPr>
              <w:t>December 31, 2022</w:t>
            </w:r>
          </w:p>
        </w:tc>
        <w:tc>
          <w:tcPr>
            <w:tcW w:w="0" w:type="dxa"/>
            <w:vAlign w:val="bottom"/>
          </w:tcPr>
          <w:p>
            <w:pPr>
              <w:spacing w:after="0"/>
              <w:rPr>
                <w:sz w:val="1"/>
                <w:szCs w:val="1"/>
                <w:color w:val="auto"/>
              </w:rPr>
            </w:pPr>
          </w:p>
        </w:tc>
      </w:tr>
      <w:tr>
        <w:trPr>
          <w:trHeight w:val="125"/>
        </w:trPr>
        <w:tc>
          <w:tcPr>
            <w:tcW w:w="33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0" w:type="dxa"/>
            <w:vAlign w:val="bottom"/>
            <w:tcBorders>
              <w:top w:val="single" w:sz="8" w:color="auto"/>
            </w:tcBorders>
          </w:tcPr>
          <w:p>
            <w:pPr>
              <w:jc w:val="right"/>
              <w:ind w:right="283"/>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520" w:type="dxa"/>
            <w:vAlign w:val="bottom"/>
            <w:gridSpan w:val="2"/>
          </w:tcPr>
          <w:p>
            <w:pPr>
              <w:spacing w:after="0"/>
              <w:rPr>
                <w:sz w:val="10"/>
                <w:szCs w:val="10"/>
                <w:color w:val="auto"/>
              </w:rPr>
            </w:pPr>
          </w:p>
        </w:tc>
        <w:tc>
          <w:tcPr>
            <w:tcW w:w="1000" w:type="dxa"/>
            <w:vAlign w:val="bottom"/>
            <w:tcBorders>
              <w:top w:val="single" w:sz="8" w:color="auto"/>
            </w:tcBorders>
          </w:tcPr>
          <w:p>
            <w:pPr>
              <w:jc w:val="right"/>
              <w:ind w:right="281"/>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Advertising expenses</w:t>
            </w:r>
          </w:p>
        </w:tc>
        <w:tc>
          <w:tcPr>
            <w:tcW w:w="2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1,105</w:t>
            </w:r>
          </w:p>
        </w:tc>
        <w:tc>
          <w:tcPr>
            <w:tcW w:w="5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1,569</w:t>
            </w: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accumulated losses carry forward</w:t>
            </w:r>
          </w:p>
        </w:tc>
        <w:tc>
          <w:tcPr>
            <w:tcW w:w="2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67,714</w:t>
            </w:r>
          </w:p>
        </w:tc>
        <w:tc>
          <w:tcPr>
            <w:tcW w:w="5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94,697</w:t>
            </w:r>
          </w:p>
        </w:tc>
        <w:tc>
          <w:tcPr>
            <w:tcW w:w="0" w:type="dxa"/>
            <w:vAlign w:val="bottom"/>
          </w:tcPr>
          <w:p>
            <w:pPr>
              <w:spacing w:after="0"/>
              <w:rPr>
                <w:sz w:val="1"/>
                <w:szCs w:val="1"/>
                <w:color w:val="auto"/>
              </w:rPr>
            </w:pPr>
          </w:p>
        </w:tc>
      </w:tr>
      <w:tr>
        <w:trPr>
          <w:trHeight w:val="193"/>
        </w:trPr>
        <w:tc>
          <w:tcPr>
            <w:tcW w:w="3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271</w:t>
            </w:r>
          </w:p>
        </w:tc>
        <w:tc>
          <w:tcPr>
            <w:tcW w:w="5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2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940</w:t>
            </w:r>
          </w:p>
        </w:tc>
        <w:tc>
          <w:tcPr>
            <w:tcW w:w="5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1,505</w:t>
            </w:r>
          </w:p>
        </w:tc>
        <w:tc>
          <w:tcPr>
            <w:tcW w:w="0" w:type="dxa"/>
            <w:vAlign w:val="bottom"/>
          </w:tcPr>
          <w:p>
            <w:pPr>
              <w:spacing w:after="0"/>
              <w:rPr>
                <w:sz w:val="1"/>
                <w:szCs w:val="1"/>
                <w:color w:val="auto"/>
              </w:rPr>
            </w:pPr>
          </w:p>
        </w:tc>
      </w:tr>
      <w:tr>
        <w:trPr>
          <w:trHeight w:val="193"/>
        </w:trPr>
        <w:tc>
          <w:tcPr>
            <w:tcW w:w="3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w:t>
            </w:r>
          </w:p>
        </w:tc>
        <w:tc>
          <w:tcPr>
            <w:tcW w:w="2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4,171</w:t>
            </w:r>
          </w:p>
        </w:tc>
        <w:tc>
          <w:tcPr>
            <w:tcW w:w="5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6,640</w:t>
            </w: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560" w:type="dxa"/>
            <w:vAlign w:val="bottom"/>
            <w:shd w:val="clear" w:color="auto" w:fill="CCEEFF"/>
          </w:tcPr>
          <w:p>
            <w:pPr>
              <w:spacing w:after="0"/>
              <w:rPr>
                <w:sz w:val="16"/>
                <w:szCs w:val="16"/>
                <w:color w:val="auto"/>
              </w:rPr>
            </w:pPr>
          </w:p>
        </w:tc>
        <w:tc>
          <w:tcPr>
            <w:tcW w:w="15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45,639</w:t>
            </w:r>
          </w:p>
        </w:tc>
        <w:tc>
          <w:tcPr>
            <w:tcW w:w="0" w:type="dxa"/>
            <w:vAlign w:val="bottom"/>
          </w:tcPr>
          <w:p>
            <w:pPr>
              <w:spacing w:after="0"/>
              <w:rPr>
                <w:sz w:val="1"/>
                <w:szCs w:val="1"/>
                <w:color w:val="auto"/>
              </w:rPr>
            </w:pPr>
          </w:p>
        </w:tc>
      </w:tr>
      <w:tr>
        <w:trPr>
          <w:trHeight w:val="197"/>
        </w:trPr>
        <w:tc>
          <w:tcPr>
            <w:tcW w:w="3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Less: valuation allowance</w:t>
            </w:r>
          </w:p>
        </w:tc>
        <w:tc>
          <w:tcPr>
            <w:tcW w:w="3080" w:type="dxa"/>
            <w:vAlign w:val="bottom"/>
            <w:gridSpan w:val="4"/>
          </w:tcPr>
          <w:p>
            <w:pPr>
              <w:jc w:val="right"/>
              <w:ind w:right="460"/>
              <w:spacing w:after="0"/>
              <w:rPr>
                <w:sz w:val="20"/>
                <w:szCs w:val="20"/>
                <w:color w:val="auto"/>
              </w:rPr>
            </w:pPr>
            <w:r>
              <w:rPr>
                <w:rFonts w:ascii="Times New Roman" w:cs="Times New Roman" w:eastAsia="Times New Roman" w:hAnsi="Times New Roman"/>
                <w:sz w:val="16"/>
                <w:szCs w:val="16"/>
                <w:color w:val="auto"/>
              </w:rPr>
              <w:t>(73,596)</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(90,049)</w:t>
            </w: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Gross deferred tax assets</w:t>
            </w:r>
          </w:p>
        </w:tc>
        <w:tc>
          <w:tcPr>
            <w:tcW w:w="1560" w:type="dxa"/>
            <w:vAlign w:val="bottom"/>
            <w:shd w:val="clear" w:color="auto" w:fill="CCEEFF"/>
          </w:tcPr>
          <w:p>
            <w:pPr>
              <w:spacing w:after="0"/>
              <w:rPr>
                <w:sz w:val="16"/>
                <w:szCs w:val="16"/>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605</w:t>
            </w:r>
          </w:p>
        </w:tc>
        <w:tc>
          <w:tcPr>
            <w:tcW w:w="50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60,339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Offset</w:t>
            </w:r>
          </w:p>
        </w:tc>
        <w:tc>
          <w:tcPr>
            <w:tcW w:w="1560" w:type="dxa"/>
            <w:vAlign w:val="bottom"/>
          </w:tcPr>
          <w:p>
            <w:pPr>
              <w:spacing w:after="0"/>
              <w:rPr>
                <w:sz w:val="16"/>
                <w:szCs w:val="16"/>
                <w:color w:val="auto"/>
              </w:rPr>
            </w:pPr>
          </w:p>
        </w:tc>
        <w:tc>
          <w:tcPr>
            <w:tcW w:w="152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(60,339)</w:t>
            </w: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deferred tax assets</w:t>
            </w:r>
          </w:p>
        </w:tc>
        <w:tc>
          <w:tcPr>
            <w:tcW w:w="2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605</w:t>
            </w:r>
          </w:p>
        </w:tc>
        <w:tc>
          <w:tcPr>
            <w:tcW w:w="5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5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30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Intangible assets</w:t>
            </w:r>
          </w:p>
        </w:tc>
        <w:tc>
          <w:tcPr>
            <w:tcW w:w="2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4,287</w:t>
            </w:r>
          </w:p>
        </w:tc>
        <w:tc>
          <w:tcPr>
            <w:tcW w:w="5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12,491</w:t>
            </w:r>
          </w:p>
        </w:tc>
        <w:tc>
          <w:tcPr>
            <w:tcW w:w="0" w:type="dxa"/>
            <w:vAlign w:val="bottom"/>
          </w:tcPr>
          <w:p>
            <w:pPr>
              <w:spacing w:after="0"/>
              <w:rPr>
                <w:sz w:val="1"/>
                <w:szCs w:val="1"/>
                <w:color w:val="auto"/>
              </w:rPr>
            </w:pPr>
          </w:p>
        </w:tc>
      </w:tr>
      <w:tr>
        <w:trPr>
          <w:trHeight w:val="193"/>
        </w:trPr>
        <w:tc>
          <w:tcPr>
            <w:tcW w:w="3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560" w:type="dxa"/>
            <w:vAlign w:val="bottom"/>
          </w:tcPr>
          <w:p>
            <w:pPr>
              <w:spacing w:after="0"/>
              <w:rPr>
                <w:sz w:val="16"/>
                <w:szCs w:val="16"/>
                <w:color w:val="auto"/>
              </w:rPr>
            </w:pPr>
          </w:p>
        </w:tc>
        <w:tc>
          <w:tcPr>
            <w:tcW w:w="152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45,638</w:t>
            </w: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Gain on equity method investee</w:t>
            </w:r>
          </w:p>
        </w:tc>
        <w:tc>
          <w:tcPr>
            <w:tcW w:w="2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605</w:t>
            </w:r>
          </w:p>
        </w:tc>
        <w:tc>
          <w:tcPr>
            <w:tcW w:w="5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197"/>
        </w:trPr>
        <w:tc>
          <w:tcPr>
            <w:tcW w:w="3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Variable consideration of renewal income</w:t>
            </w:r>
          </w:p>
        </w:tc>
        <w:tc>
          <w:tcPr>
            <w:tcW w:w="1560" w:type="dxa"/>
            <w:vAlign w:val="bottom"/>
          </w:tcPr>
          <w:p>
            <w:pPr>
              <w:spacing w:after="0"/>
              <w:rPr>
                <w:sz w:val="17"/>
                <w:szCs w:val="17"/>
                <w:color w:val="auto"/>
              </w:rPr>
            </w:pPr>
          </w:p>
        </w:tc>
        <w:tc>
          <w:tcPr>
            <w:tcW w:w="152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14,096</w:t>
            </w: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Gross deferred tax liabilities</w:t>
            </w:r>
          </w:p>
        </w:tc>
        <w:tc>
          <w:tcPr>
            <w:tcW w:w="156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4,892</w:t>
            </w: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72,830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Offset</w:t>
            </w:r>
          </w:p>
        </w:tc>
        <w:tc>
          <w:tcPr>
            <w:tcW w:w="1560" w:type="dxa"/>
            <w:vAlign w:val="bottom"/>
          </w:tcPr>
          <w:p>
            <w:pPr>
              <w:spacing w:after="0"/>
              <w:rPr>
                <w:sz w:val="17"/>
                <w:szCs w:val="17"/>
                <w:color w:val="auto"/>
              </w:rPr>
            </w:pPr>
          </w:p>
        </w:tc>
        <w:tc>
          <w:tcPr>
            <w:tcW w:w="152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(60,339)</w:t>
            </w: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1560" w:type="dxa"/>
            <w:vAlign w:val="bottom"/>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4,892</w:t>
            </w: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300" w:type="dxa"/>
            <w:vAlign w:val="bottom"/>
          </w:tcPr>
          <w:p>
            <w:pPr>
              <w:spacing w:after="0"/>
              <w:rPr>
                <w:sz w:val="24"/>
                <w:szCs w:val="24"/>
                <w:color w:val="auto"/>
              </w:rPr>
            </w:pPr>
          </w:p>
        </w:tc>
        <w:tc>
          <w:tcPr>
            <w:tcW w:w="3080" w:type="dxa"/>
            <w:vAlign w:val="bottom"/>
            <w:gridSpan w:val="4"/>
          </w:tcPr>
          <w:p>
            <w:pPr>
              <w:jc w:val="right"/>
              <w:ind w:right="2480"/>
              <w:spacing w:after="0"/>
              <w:rPr>
                <w:sz w:val="20"/>
                <w:szCs w:val="20"/>
                <w:color w:val="auto"/>
              </w:rPr>
            </w:pPr>
            <w:r>
              <w:rPr>
                <w:rFonts w:ascii="Times New Roman" w:cs="Times New Roman" w:eastAsia="Times New Roman" w:hAnsi="Times New Roman"/>
                <w:sz w:val="16"/>
                <w:szCs w:val="16"/>
                <w:color w:val="auto"/>
              </w:rPr>
              <w:t>F-50</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47" w:right="11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9" w:lineRule="exact"/>
        <w:rPr>
          <w:sz w:val="20"/>
          <w:szCs w:val="20"/>
          <w:color w:val="auto"/>
        </w:rPr>
      </w:pPr>
    </w:p>
    <w:p>
      <w:pPr>
        <w:ind w:left="1100" w:right="7220" w:hanging="393"/>
        <w:spacing w:after="0" w:line="435" w:lineRule="auto"/>
        <w:tabs>
          <w:tab w:leader="none" w:pos="948" w:val="left"/>
        </w:tabs>
        <w:numPr>
          <w:ilvl w:val="0"/>
          <w:numId w:val="1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Income taxes (continued) </w:t>
      </w:r>
      <w:r>
        <w:rPr>
          <w:rFonts w:ascii="Times New Roman" w:cs="Times New Roman" w:eastAsia="Times New Roman" w:hAnsi="Times New Roman"/>
          <w:sz w:val="16"/>
          <w:szCs w:val="16"/>
          <w:i w:val="1"/>
          <w:iCs w:val="1"/>
          <w:color w:val="auto"/>
        </w:rPr>
        <w:t>Movement of valuation allowance</w:t>
      </w:r>
    </w:p>
    <w:p>
      <w:pPr>
        <w:spacing w:after="0" w:line="48" w:lineRule="exact"/>
        <w:rPr>
          <w:sz w:val="20"/>
          <w:szCs w:val="20"/>
          <w:color w:val="auto"/>
        </w:rPr>
      </w:pPr>
    </w:p>
    <w:tbl>
      <w:tblPr>
        <w:tblLayout w:type="fixed"/>
        <w:tblInd w:w="15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080" w:type="dxa"/>
            <w:vAlign w:val="bottom"/>
            <w:gridSpan w:val="6"/>
          </w:tcPr>
          <w:p>
            <w:pPr>
              <w:ind w:left="80"/>
              <w:spacing w:after="0"/>
              <w:rPr>
                <w:sz w:val="20"/>
                <w:szCs w:val="20"/>
                <w:color w:val="auto"/>
              </w:rPr>
            </w:pPr>
            <w:r>
              <w:rPr>
                <w:rFonts w:ascii="Times New Roman" w:cs="Times New Roman" w:eastAsia="Times New Roman" w:hAnsi="Times New Roman"/>
                <w:sz w:val="13"/>
                <w:szCs w:val="13"/>
                <w:color w:val="auto"/>
              </w:rPr>
              <w:t>For the years Ended December 31,</w:t>
            </w:r>
          </w:p>
        </w:tc>
      </w:tr>
      <w:tr>
        <w:trPr>
          <w:trHeight w:val="125"/>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480" w:type="dxa"/>
            <w:vAlign w:val="bottom"/>
            <w:tcBorders>
              <w:top w:val="single" w:sz="8" w:color="auto"/>
              <w:bottom w:val="single" w:sz="8" w:color="auto"/>
            </w:tcBorders>
          </w:tcPr>
          <w:p>
            <w:pPr>
              <w:ind w:left="100"/>
              <w:spacing w:after="0" w:line="125" w:lineRule="exact"/>
              <w:rPr>
                <w:sz w:val="20"/>
                <w:szCs w:val="20"/>
                <w:color w:val="auto"/>
              </w:rPr>
            </w:pPr>
            <w:r>
              <w:rPr>
                <w:rFonts w:ascii="Times New Roman" w:cs="Times New Roman" w:eastAsia="Times New Roman" w:hAnsi="Times New Roman"/>
                <w:sz w:val="13"/>
                <w:szCs w:val="13"/>
                <w:color w:val="auto"/>
              </w:rPr>
              <w:t>2020</w:t>
            </w: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63"/>
              <w:spacing w:after="0" w:line="125" w:lineRule="exact"/>
              <w:rPr>
                <w:sz w:val="20"/>
                <w:szCs w:val="20"/>
                <w:color w:val="auto"/>
              </w:rPr>
            </w:pPr>
            <w:r>
              <w:rPr>
                <w:rFonts w:ascii="Times New Roman" w:cs="Times New Roman" w:eastAsia="Times New Roman" w:hAnsi="Times New Roman"/>
                <w:sz w:val="13"/>
                <w:szCs w:val="13"/>
                <w:color w:val="auto"/>
              </w:rPr>
              <w:t>2021</w:t>
            </w:r>
          </w:p>
        </w:tc>
        <w:tc>
          <w:tcPr>
            <w:tcW w:w="240" w:type="dxa"/>
            <w:vAlign w:val="bottom"/>
            <w:tcBorders>
              <w:top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43"/>
              <w:spacing w:after="0" w:line="125" w:lineRule="exact"/>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480" w:type="dxa"/>
            <w:vAlign w:val="bottom"/>
          </w:tcPr>
          <w:p>
            <w:pPr>
              <w:ind w:left="100"/>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260" w:type="dxa"/>
            <w:vAlign w:val="bottom"/>
          </w:tcPr>
          <w:p>
            <w:pPr>
              <w:spacing w:after="0"/>
              <w:rPr>
                <w:sz w:val="10"/>
                <w:szCs w:val="10"/>
                <w:color w:val="auto"/>
              </w:rPr>
            </w:pPr>
          </w:p>
        </w:tc>
        <w:tc>
          <w:tcPr>
            <w:tcW w:w="500" w:type="dxa"/>
            <w:vAlign w:val="bottom"/>
          </w:tcPr>
          <w:p>
            <w:pPr>
              <w:jc w:val="right"/>
              <w:ind w:right="43"/>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240" w:type="dxa"/>
            <w:vAlign w:val="bottom"/>
          </w:tcPr>
          <w:p>
            <w:pPr>
              <w:spacing w:after="0"/>
              <w:rPr>
                <w:sz w:val="10"/>
                <w:szCs w:val="10"/>
                <w:color w:val="auto"/>
              </w:rPr>
            </w:pPr>
          </w:p>
        </w:tc>
        <w:tc>
          <w:tcPr>
            <w:tcW w:w="500" w:type="dxa"/>
            <w:vAlign w:val="bottom"/>
          </w:tcPr>
          <w:p>
            <w:pPr>
              <w:jc w:val="right"/>
              <w:ind w:right="23"/>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00" w:type="dxa"/>
            <w:vAlign w:val="bottom"/>
          </w:tcPr>
          <w:p>
            <w:pPr>
              <w:spacing w:after="0"/>
              <w:rPr>
                <w:sz w:val="10"/>
                <w:szCs w:val="10"/>
                <w:color w:val="auto"/>
              </w:rPr>
            </w:pPr>
          </w:p>
        </w:tc>
      </w:tr>
      <w:tr>
        <w:trPr>
          <w:trHeight w:val="193"/>
        </w:trPr>
        <w:tc>
          <w:tcPr>
            <w:tcW w:w="20" w:type="dxa"/>
            <w:vAlign w:val="bottom"/>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beginning of the year</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33,211</w:t>
            </w: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34,501</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73,596</w:t>
            </w:r>
          </w:p>
        </w:tc>
        <w:tc>
          <w:tcPr>
            <w:tcW w:w="10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7,318</w:t>
            </w:r>
          </w:p>
        </w:tc>
        <w:tc>
          <w:tcPr>
            <w:tcW w:w="2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37,961</w:t>
            </w: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20,122</w:t>
            </w:r>
          </w:p>
        </w:tc>
        <w:tc>
          <w:tcPr>
            <w:tcW w:w="10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subsidiaries</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Reversals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(6,028)</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(3,968)</w:t>
            </w:r>
          </w:p>
        </w:tc>
      </w:tr>
      <w:tr>
        <w:trPr>
          <w:trHeight w:val="193"/>
        </w:trPr>
        <w:tc>
          <w:tcPr>
            <w:tcW w:w="20" w:type="dxa"/>
            <w:vAlign w:val="bottom"/>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Expiration</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(166)</w:t>
            </w:r>
          </w:p>
        </w:tc>
      </w:tr>
      <w:tr>
        <w:trPr>
          <w:trHeight w:val="197"/>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Disposal of subsidiaries</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(1,064)</w:t>
            </w:r>
          </w:p>
        </w:tc>
      </w:tr>
      <w:tr>
        <w:trPr>
          <w:trHeight w:val="193"/>
        </w:trPr>
        <w:tc>
          <w:tcPr>
            <w:tcW w:w="20" w:type="dxa"/>
            <w:vAlign w:val="bottom"/>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end of the year</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34,501</w:t>
            </w:r>
          </w:p>
        </w:tc>
        <w:tc>
          <w:tcPr>
            <w:tcW w:w="260" w:type="dxa"/>
            <w:vAlign w:val="bottom"/>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73,596</w:t>
            </w:r>
          </w:p>
        </w:tc>
        <w:tc>
          <w:tcPr>
            <w:tcW w:w="240" w:type="dxa"/>
            <w:vAlign w:val="bottom"/>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90,049</w:t>
            </w:r>
          </w:p>
        </w:tc>
        <w:tc>
          <w:tcPr>
            <w:tcW w:w="10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right="20" w:firstLine="393"/>
        <w:spacing w:after="0" w:line="258" w:lineRule="auto"/>
        <w:rPr>
          <w:sz w:val="20"/>
          <w:szCs w:val="20"/>
          <w:color w:val="auto"/>
        </w:rPr>
      </w:pPr>
      <w:r>
        <w:rPr>
          <w:rFonts w:ascii="Times New Roman" w:cs="Times New Roman" w:eastAsia="Times New Roman" w:hAnsi="Times New Roman"/>
          <w:sz w:val="16"/>
          <w:szCs w:val="16"/>
          <w:color w:val="auto"/>
        </w:rPr>
        <w:t>Valuation allowance is provided against deferred tax assets when the Group determines that it is more-likely-than-not that the deferred tax assets will not be utilized in the future. The Group considers positive and negative evidence to determine whether some portion or all of the deferred tax assets will be more-likely-than-not 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Group is using to manage the underlying businesses. The statutory rate of 25%, 15% or 16.5%, depending on which entity, was applied when calculating deferred tax assets.</w:t>
      </w:r>
    </w:p>
    <w:p>
      <w:pPr>
        <w:spacing w:after="0" w:line="163" w:lineRule="exact"/>
        <w:rPr>
          <w:sz w:val="20"/>
          <w:szCs w:val="20"/>
          <w:color w:val="auto"/>
        </w:rPr>
      </w:pPr>
    </w:p>
    <w:p>
      <w:pPr>
        <w:ind w:left="700" w:right="20" w:firstLine="393"/>
        <w:spacing w:after="0" w:line="255" w:lineRule="auto"/>
        <w:rPr>
          <w:sz w:val="20"/>
          <w:szCs w:val="20"/>
          <w:color w:val="auto"/>
        </w:rPr>
      </w:pPr>
      <w:r>
        <w:rPr>
          <w:rFonts w:ascii="Times New Roman" w:cs="Times New Roman" w:eastAsia="Times New Roman" w:hAnsi="Times New Roman"/>
          <w:sz w:val="16"/>
          <w:szCs w:val="16"/>
          <w:color w:val="auto"/>
        </w:rPr>
        <w:t>As of December 31, 2020, 2021 and 2022, the Group had tax on net operating loss carryforwards of approximately RMB31,218, RMB67,714 and RMB 94,697, respectively, which arose from the subsidiaries, VIE and the VIE’s subsidiary established in PRC. As of December 31, 2020, 2021 and 2022, of the tax on net operating loss carryforwards, RMB30,613, RMB67,109 and RMB94,092 was provided for valuation allowance, respectively, while the remaining RMB605, RMB605 and RMB605 is expected to be utilized prior to expiration considering future taxable income for respective entities. In 2020 and 2021, the net operating loss carry forward of Shenzhen Huize, Huize Shidai and Chengdu Huize was provided for the addition of valuation allowance. In 2022, the addition of valuation allowance was mainly provided by the net operating loss carry forward of Chengdu Huize and other certain subsidiaries of VIE, because it was more likely than not that such deferred tax assets will not be realized based on the Group’s estimates of its future taxable income. In 2022, the reversal of valuation allowance was mainly caused by the decrease of net operation loss carry forward of Shenzhen Huize.</w:t>
      </w:r>
    </w:p>
    <w:p>
      <w:pPr>
        <w:spacing w:after="0" w:line="169" w:lineRule="exact"/>
        <w:rPr>
          <w:sz w:val="20"/>
          <w:szCs w:val="20"/>
          <w:color w:val="auto"/>
        </w:rPr>
      </w:pPr>
    </w:p>
    <w:p>
      <w:pPr>
        <w:ind w:left="700" w:right="60" w:firstLine="393"/>
        <w:spacing w:after="0" w:line="259" w:lineRule="auto"/>
        <w:rPr>
          <w:sz w:val="20"/>
          <w:szCs w:val="20"/>
          <w:color w:val="auto"/>
        </w:rPr>
      </w:pPr>
      <w:r>
        <w:rPr>
          <w:rFonts w:ascii="Times New Roman" w:cs="Times New Roman" w:eastAsia="Times New Roman" w:hAnsi="Times New Roman"/>
          <w:sz w:val="16"/>
          <w:szCs w:val="16"/>
          <w:color w:val="auto"/>
        </w:rPr>
        <w:t>According to the Circular of relevant governmental regulatory authorities of Taxation on Extending the Loss Carry-over Period of High-tech Enterprises and High-tech SMEs (Cai Shui [2018] No. 76), from January 1, 2018, the enterprises that have the qualifications of high-tech enterprises or high-tech SMEs will be able to make up for the losses that have not been utilized in the previous five years before the qualification year. The longest carry-over period is extended from 5 years to 10 years. As of December 31, 2022, the net operating loss carryforwards will expire during the period from 2024 to 2031, if unused.</w:t>
      </w:r>
    </w:p>
    <w:p>
      <w:pPr>
        <w:spacing w:after="0" w:line="2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Uncertain tax positions</w:t>
      </w:r>
    </w:p>
    <w:p>
      <w:pPr>
        <w:spacing w:after="0" w:line="109" w:lineRule="exact"/>
        <w:rPr>
          <w:sz w:val="20"/>
          <w:szCs w:val="20"/>
          <w:color w:val="auto"/>
        </w:rPr>
      </w:pPr>
    </w:p>
    <w:p>
      <w:pPr>
        <w:ind w:left="700" w:right="20" w:firstLine="393"/>
        <w:spacing w:after="0" w:line="267" w:lineRule="auto"/>
        <w:rPr>
          <w:sz w:val="20"/>
          <w:szCs w:val="20"/>
          <w:color w:val="auto"/>
        </w:rPr>
      </w:pPr>
      <w:r>
        <w:rPr>
          <w:rFonts w:ascii="Times New Roman" w:cs="Times New Roman" w:eastAsia="Times New Roman" w:hAnsi="Times New Roman"/>
          <w:sz w:val="16"/>
          <w:szCs w:val="16"/>
          <w:color w:val="auto"/>
        </w:rPr>
        <w:t>The liabilities associated with uncertain tax positions were RMB2,440 and RMB2,440 as of December 31, 2021 and 2022, respectively. The Group did not accrue any potential penalties and interest related to these uncertain tax positions for all years presented on the basis that the likelihood of penalties and interest being charged is not considered to be probable.</w:t>
      </w:r>
    </w:p>
    <w:p>
      <w:pPr>
        <w:spacing w:after="0" w:line="157" w:lineRule="exact"/>
        <w:rPr>
          <w:sz w:val="20"/>
          <w:szCs w:val="20"/>
          <w:color w:val="auto"/>
        </w:rPr>
      </w:pPr>
    </w:p>
    <w:p>
      <w:pPr>
        <w:ind w:left="700" w:firstLine="393"/>
        <w:spacing w:after="0" w:line="259" w:lineRule="auto"/>
        <w:rPr>
          <w:sz w:val="20"/>
          <w:szCs w:val="20"/>
          <w:color w:val="auto"/>
        </w:rPr>
      </w:pPr>
      <w:r>
        <w:rPr>
          <w:rFonts w:ascii="Times New Roman" w:cs="Times New Roman" w:eastAsia="Times New Roman" w:hAnsi="Times New Roman"/>
          <w:sz w:val="16"/>
          <w:szCs w:val="16"/>
          <w:color w:val="auto"/>
        </w:rPr>
        <w:t>The amounts of uncertain tax positions listed above are based on the recognition and measurement criteria of ASC 740. However, due to the uncertain and complex application of tax regulations, it is possible that the ultimate resolution of uncertain tax positions may result in liabilities which could be materially different from these estimates. The Group does not expect changes in uncertain tax positions recognized as of December 31, 2022 to be material in the next twelve months. In general, the PRC tax authorities have up to five years and in certain cases up to 10 years to conduct examinations of the tax filings of the Group. There are no ongoing examinations by tax authorities as of December 31, 2022.</w:t>
      </w:r>
    </w:p>
    <w:p>
      <w:pPr>
        <w:spacing w:after="0" w:line="1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F-51</w:t>
      </w:r>
    </w:p>
    <w:p>
      <w:pPr>
        <w:sectPr>
          <w:pgSz w:w="11900" w:h="16838" w:orient="portrait"/>
          <w:cols w:equalWidth="0" w:num="1">
            <w:col w:w="10500"/>
          </w:cols>
          <w:pgMar w:left="320" w:top="447" w:right="10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14. Long-term borrowing</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following table summarizes the details of the Group’s long-term borrowings:</w:t>
      </w:r>
    </w:p>
    <w:p>
      <w:pPr>
        <w:spacing w:after="0" w:line="205"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jc w:val="center"/>
              <w:ind w:right="168"/>
              <w:spacing w:after="0"/>
              <w:rPr>
                <w:sz w:val="20"/>
                <w:szCs w:val="20"/>
                <w:color w:val="auto"/>
              </w:rPr>
            </w:pPr>
            <w:r>
              <w:rPr>
                <w:rFonts w:ascii="Times New Roman" w:cs="Times New Roman" w:eastAsia="Times New Roman" w:hAnsi="Times New Roman"/>
                <w:sz w:val="13"/>
                <w:szCs w:val="13"/>
                <w:color w:val="auto"/>
                <w:w w:val="97"/>
              </w:rPr>
              <w:t>Interest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As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20" w:type="dxa"/>
            <w:vAlign w:val="bottom"/>
            <w:vMerge w:val="restart"/>
          </w:tcPr>
          <w:p>
            <w:pPr>
              <w:jc w:val="center"/>
              <w:ind w:left="966"/>
              <w:spacing w:after="0" w:line="141" w:lineRule="exact"/>
              <w:rPr>
                <w:sz w:val="20"/>
                <w:szCs w:val="20"/>
                <w:color w:val="auto"/>
              </w:rPr>
            </w:pPr>
            <w:r>
              <w:rPr>
                <w:rFonts w:ascii="Times New Roman" w:cs="Times New Roman" w:eastAsia="Times New Roman" w:hAnsi="Times New Roman"/>
                <w:sz w:val="13"/>
                <w:szCs w:val="13"/>
                <w:color w:val="auto"/>
                <w:w w:val="96"/>
              </w:rPr>
              <w:t>Maturity</w:t>
            </w:r>
          </w:p>
        </w:tc>
        <w:tc>
          <w:tcPr>
            <w:tcW w:w="7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auto"/>
              </w:rPr>
              <w:t>Principal</w:t>
            </w:r>
          </w:p>
        </w:tc>
        <w:tc>
          <w:tcPr>
            <w:tcW w:w="1060" w:type="dxa"/>
            <w:vAlign w:val="bottom"/>
            <w:vMerge w:val="restart"/>
          </w:tcPr>
          <w:p>
            <w:pPr>
              <w:jc w:val="center"/>
              <w:ind w:right="188"/>
              <w:spacing w:after="0" w:line="141" w:lineRule="exact"/>
              <w:rPr>
                <w:sz w:val="20"/>
                <w:szCs w:val="20"/>
                <w:color w:val="auto"/>
              </w:rPr>
            </w:pPr>
            <w:r>
              <w:rPr>
                <w:rFonts w:ascii="Times New Roman" w:cs="Times New Roman" w:eastAsia="Times New Roman" w:hAnsi="Times New Roman"/>
                <w:sz w:val="13"/>
                <w:szCs w:val="13"/>
                <w:color w:val="auto"/>
              </w:rPr>
              <w:t>Rate</w:t>
            </w:r>
          </w:p>
        </w:tc>
        <w:tc>
          <w:tcPr>
            <w:tcW w:w="100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40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Type</w:t>
            </w:r>
          </w:p>
        </w:tc>
        <w:tc>
          <w:tcPr>
            <w:tcW w:w="21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000" w:type="dxa"/>
            <w:vAlign w:val="bottom"/>
            <w:gridSpan w:val="3"/>
          </w:tcPr>
          <w:p>
            <w:pPr>
              <w:jc w:val="center"/>
              <w:ind w:right="280"/>
              <w:spacing w:after="0" w:line="101" w:lineRule="exact"/>
              <w:rPr>
                <w:sz w:val="20"/>
                <w:szCs w:val="20"/>
                <w:color w:val="auto"/>
              </w:rPr>
            </w:pPr>
            <w:r>
              <w:rPr>
                <w:rFonts w:ascii="Times New Roman" w:cs="Times New Roman" w:eastAsia="Times New Roman" w:hAnsi="Times New Roman"/>
                <w:sz w:val="11"/>
                <w:szCs w:val="11"/>
                <w:color w:val="auto"/>
              </w:rPr>
              <w:t>December 31,</w:t>
            </w:r>
          </w:p>
        </w:tc>
        <w:tc>
          <w:tcPr>
            <w:tcW w:w="720" w:type="dxa"/>
            <w:vAlign w:val="bottom"/>
          </w:tcPr>
          <w:p>
            <w:pPr>
              <w:jc w:val="center"/>
              <w:spacing w:after="0" w:line="101" w:lineRule="exact"/>
              <w:rPr>
                <w:sz w:val="20"/>
                <w:szCs w:val="20"/>
                <w:color w:val="auto"/>
              </w:rPr>
            </w:pPr>
            <w:r>
              <w:rPr>
                <w:rFonts w:ascii="Times New Roman" w:cs="Times New Roman" w:eastAsia="Times New Roman" w:hAnsi="Times New Roman"/>
                <w:sz w:val="11"/>
                <w:szCs w:val="11"/>
                <w:color w:val="auto"/>
              </w:rPr>
              <w:t>December 31,</w:t>
            </w:r>
          </w:p>
        </w:tc>
        <w:tc>
          <w:tcPr>
            <w:tcW w:w="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4060" w:type="dxa"/>
            <w:vAlign w:val="bottom"/>
            <w:vMerge w:val="continue"/>
          </w:tcPr>
          <w:p>
            <w:pPr>
              <w:spacing w:after="0"/>
              <w:rPr>
                <w:sz w:val="11"/>
                <w:szCs w:val="11"/>
                <w:color w:val="auto"/>
              </w:rPr>
            </w:pPr>
          </w:p>
        </w:tc>
        <w:tc>
          <w:tcPr>
            <w:tcW w:w="2120" w:type="dxa"/>
            <w:vAlign w:val="bottom"/>
          </w:tcPr>
          <w:p>
            <w:pPr>
              <w:jc w:val="center"/>
              <w:ind w:left="966"/>
              <w:spacing w:after="0" w:line="137" w:lineRule="exact"/>
              <w:rPr>
                <w:sz w:val="20"/>
                <w:szCs w:val="20"/>
                <w:color w:val="auto"/>
              </w:rPr>
            </w:pPr>
            <w:r>
              <w:rPr>
                <w:rFonts w:ascii="Times New Roman" w:cs="Times New Roman" w:eastAsia="Times New Roman" w:hAnsi="Times New Roman"/>
                <w:sz w:val="13"/>
                <w:szCs w:val="13"/>
                <w:color w:val="auto"/>
                <w:w w:val="97"/>
              </w:rPr>
              <w:t>Date</w:t>
            </w:r>
          </w:p>
        </w:tc>
        <w:tc>
          <w:tcPr>
            <w:tcW w:w="780" w:type="dxa"/>
            <w:vAlign w:val="bottom"/>
          </w:tcPr>
          <w:p>
            <w:pPr>
              <w:ind w:left="200"/>
              <w:spacing w:after="0" w:line="137" w:lineRule="exact"/>
              <w:rPr>
                <w:sz w:val="20"/>
                <w:szCs w:val="20"/>
                <w:color w:val="auto"/>
              </w:rPr>
            </w:pPr>
            <w:r>
              <w:rPr>
                <w:rFonts w:ascii="Times New Roman" w:cs="Times New Roman" w:eastAsia="Times New Roman" w:hAnsi="Times New Roman"/>
                <w:sz w:val="13"/>
                <w:szCs w:val="13"/>
                <w:color w:val="auto"/>
              </w:rPr>
              <w:t>Amount</w:t>
            </w:r>
          </w:p>
        </w:tc>
        <w:tc>
          <w:tcPr>
            <w:tcW w:w="1060" w:type="dxa"/>
            <w:vAlign w:val="bottom"/>
          </w:tcPr>
          <w:p>
            <w:pPr>
              <w:jc w:val="center"/>
              <w:ind w:right="168"/>
              <w:spacing w:after="0" w:line="137" w:lineRule="exact"/>
              <w:rPr>
                <w:sz w:val="20"/>
                <w:szCs w:val="20"/>
                <w:color w:val="auto"/>
              </w:rPr>
            </w:pPr>
            <w:r>
              <w:rPr>
                <w:rFonts w:ascii="Times New Roman" w:cs="Times New Roman" w:eastAsia="Times New Roman" w:hAnsi="Times New Roman"/>
                <w:sz w:val="13"/>
                <w:szCs w:val="13"/>
                <w:color w:val="auto"/>
                <w:w w:val="97"/>
              </w:rPr>
              <w:t>Per Annum</w:t>
            </w:r>
          </w:p>
        </w:tc>
        <w:tc>
          <w:tcPr>
            <w:tcW w:w="7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w w:val="99"/>
              </w:rPr>
              <w:t>2021</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w w:val="99"/>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color w:val="auto"/>
                <w:w w:val="96"/>
              </w:rPr>
              <w:t>RMB</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RMB</w:t>
            </w:r>
          </w:p>
        </w:tc>
        <w:tc>
          <w:tcPr>
            <w:tcW w:w="0" w:type="dxa"/>
            <w:vAlign w:val="bottom"/>
          </w:tcPr>
          <w:p>
            <w:pPr>
              <w:spacing w:after="0"/>
              <w:rPr>
                <w:sz w:val="1"/>
                <w:szCs w:val="1"/>
                <w:color w:val="auto"/>
              </w:rPr>
            </w:pPr>
          </w:p>
        </w:tc>
      </w:tr>
      <w:tr>
        <w:trPr>
          <w:trHeight w:val="19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loan</w:t>
            </w:r>
          </w:p>
        </w:tc>
        <w:tc>
          <w:tcPr>
            <w:tcW w:w="21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May 20, 2022</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20,000</w:t>
            </w:r>
          </w:p>
        </w:tc>
        <w:tc>
          <w:tcPr>
            <w:tcW w:w="10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rPr>
              <w:t>4.60%</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20,000</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Bank loan</w:t>
            </w:r>
          </w:p>
        </w:tc>
        <w:tc>
          <w:tcPr>
            <w:tcW w:w="212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May 19, 2023</w:t>
            </w:r>
          </w:p>
        </w:tc>
        <w:tc>
          <w:tcPr>
            <w:tcW w:w="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20,000</w:t>
            </w:r>
          </w:p>
        </w:tc>
        <w:tc>
          <w:tcPr>
            <w:tcW w:w="1060" w:type="dxa"/>
            <w:vAlign w:val="bottom"/>
          </w:tcPr>
          <w:p>
            <w:pPr>
              <w:jc w:val="right"/>
              <w:ind w:right="148"/>
              <w:spacing w:after="0"/>
              <w:rPr>
                <w:sz w:val="20"/>
                <w:szCs w:val="20"/>
                <w:color w:val="auto"/>
              </w:rPr>
            </w:pPr>
            <w:r>
              <w:rPr>
                <w:rFonts w:ascii="Times New Roman" w:cs="Times New Roman" w:eastAsia="Times New Roman" w:hAnsi="Times New Roman"/>
                <w:sz w:val="16"/>
                <w:szCs w:val="16"/>
                <w:color w:val="auto"/>
              </w:rPr>
              <w:t>4.75%</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20,000</w:t>
            </w:r>
          </w:p>
        </w:tc>
        <w:tc>
          <w:tcPr>
            <w:tcW w:w="26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19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loan</w:t>
            </w:r>
          </w:p>
        </w:tc>
        <w:tc>
          <w:tcPr>
            <w:tcW w:w="21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July 19, 2022</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29,400</w:t>
            </w:r>
          </w:p>
        </w:tc>
        <w:tc>
          <w:tcPr>
            <w:tcW w:w="10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rPr>
              <w:t>3.85%</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26,710</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66,710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 of long-term borrowings</w:t>
            </w:r>
          </w:p>
        </w:tc>
        <w:tc>
          <w:tcPr>
            <w:tcW w:w="2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(46,710)</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197"/>
        </w:trPr>
        <w:tc>
          <w:tcPr>
            <w:tcW w:w="40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right="140" w:firstLine="393"/>
        <w:spacing w:after="0" w:line="284" w:lineRule="auto"/>
        <w:rPr>
          <w:sz w:val="20"/>
          <w:szCs w:val="20"/>
          <w:color w:val="auto"/>
        </w:rPr>
      </w:pPr>
      <w:r>
        <w:rPr>
          <w:rFonts w:ascii="Times New Roman" w:cs="Times New Roman" w:eastAsia="Times New Roman" w:hAnsi="Times New Roman"/>
          <w:sz w:val="16"/>
          <w:szCs w:val="16"/>
          <w:color w:val="auto"/>
        </w:rPr>
        <w:t>As of December 31, 2021 and 2022, the loan with maturity date of July 19, 2022 was pledged by the deposits of HK Smart Choice and the credit of Huize Insurance Brokerage. Interest is payable on a monthly basis.</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15. Common shares</w:t>
      </w:r>
    </w:p>
    <w:p>
      <w:pPr>
        <w:spacing w:after="0" w:line="107" w:lineRule="exact"/>
        <w:rPr>
          <w:sz w:val="20"/>
          <w:szCs w:val="20"/>
          <w:color w:val="auto"/>
        </w:rPr>
      </w:pPr>
    </w:p>
    <w:p>
      <w:pPr>
        <w:ind w:left="700" w:right="100" w:firstLine="393"/>
        <w:spacing w:after="0" w:line="267" w:lineRule="auto"/>
        <w:rPr>
          <w:sz w:val="20"/>
          <w:szCs w:val="20"/>
          <w:color w:val="auto"/>
        </w:rPr>
      </w:pPr>
      <w:r>
        <w:rPr>
          <w:rFonts w:ascii="Times New Roman" w:cs="Times New Roman" w:eastAsia="Times New Roman" w:hAnsi="Times New Roman"/>
          <w:sz w:val="16"/>
          <w:szCs w:val="16"/>
          <w:color w:val="auto"/>
        </w:rPr>
        <w:t>The Company’s Memorandum and Articles of Association authorizes the Company to issue up to 4,549,953,780 common shares with a par value of US$0.00001 per shares. As of December 31, 2019, the Company has 483,310,373 shares issued and outstanding. Each common share is entitled to one vote.</w:t>
      </w:r>
    </w:p>
    <w:p>
      <w:pPr>
        <w:spacing w:after="0" w:line="157" w:lineRule="exact"/>
        <w:rPr>
          <w:sz w:val="20"/>
          <w:szCs w:val="20"/>
          <w:color w:val="auto"/>
        </w:rPr>
      </w:pPr>
    </w:p>
    <w:p>
      <w:pPr>
        <w:ind w:left="700" w:right="220" w:firstLine="393"/>
        <w:spacing w:after="0" w:line="267" w:lineRule="auto"/>
        <w:rPr>
          <w:sz w:val="20"/>
          <w:szCs w:val="20"/>
          <w:color w:val="auto"/>
        </w:rPr>
      </w:pPr>
      <w:r>
        <w:rPr>
          <w:rFonts w:ascii="Times New Roman" w:cs="Times New Roman" w:eastAsia="Times New Roman" w:hAnsi="Times New Roman"/>
          <w:sz w:val="16"/>
          <w:szCs w:val="16"/>
          <w:color w:val="auto"/>
        </w:rPr>
        <w:t>On February 12, 2020, The Company completed its IPO on the Nasdaq Global Market. 5,322,453 ADSs (including 72,453 ADSs sold upon the full exercise of the underwriters’ over-allotment options), representing 106,449,060 Class A common shares, were issued and sold to the public at a price of US$10.5 per ADS.</w:t>
      </w:r>
    </w:p>
    <w:p>
      <w:pPr>
        <w:spacing w:after="0" w:line="157" w:lineRule="exact"/>
        <w:rPr>
          <w:sz w:val="20"/>
          <w:szCs w:val="20"/>
          <w:color w:val="auto"/>
        </w:rPr>
      </w:pPr>
    </w:p>
    <w:p>
      <w:pPr>
        <w:ind w:left="700" w:right="100" w:firstLine="393"/>
        <w:spacing w:after="0" w:line="258" w:lineRule="auto"/>
        <w:rPr>
          <w:sz w:val="20"/>
          <w:szCs w:val="20"/>
          <w:color w:val="auto"/>
        </w:rPr>
      </w:pPr>
      <w:r>
        <w:rPr>
          <w:rFonts w:ascii="Times New Roman" w:cs="Times New Roman" w:eastAsia="Times New Roman" w:hAnsi="Times New Roman"/>
          <w:sz w:val="16"/>
          <w:szCs w:val="16"/>
          <w:color w:val="auto"/>
        </w:rPr>
        <w:t>Upon the completion of IPO, the Group divided its common shares into Class A common shares and Class B common shares. Holders of Class A common shares will be entitled to one vote per share, while holders of Class B common shares will be entitled to 15 votes per share. Each Class B common share is convertible into one Class A common share at any time by the holder thereof, while Class A common shares are not convertible into Class B common shares under any circumstances. Upon any sale, transfer, assignment or disposition of Class B common shares by a holder thereof to any person or entity that is not an affiliate of such holder, such Class B common shares shall be automatically and immediately converted into an equal number of Class A common shares.</w:t>
      </w:r>
    </w:p>
    <w:p>
      <w:pPr>
        <w:spacing w:after="0" w:line="163" w:lineRule="exact"/>
        <w:rPr>
          <w:sz w:val="20"/>
          <w:szCs w:val="20"/>
          <w:color w:val="auto"/>
        </w:rPr>
      </w:pPr>
    </w:p>
    <w:p>
      <w:pPr>
        <w:ind w:left="700" w:right="40" w:firstLine="393"/>
        <w:spacing w:after="0" w:line="262" w:lineRule="auto"/>
        <w:rPr>
          <w:sz w:val="20"/>
          <w:szCs w:val="20"/>
          <w:color w:val="auto"/>
        </w:rPr>
      </w:pPr>
      <w:r>
        <w:rPr>
          <w:rFonts w:ascii="Times New Roman" w:cs="Times New Roman" w:eastAsia="Times New Roman" w:hAnsi="Times New Roman"/>
          <w:sz w:val="16"/>
          <w:szCs w:val="16"/>
          <w:color w:val="auto"/>
        </w:rPr>
        <w:t>All of the 150,591,207 common shares held by Huidz Holding Limited, an entity controlled by Mr. Cunjun Ma, the chairman of the board of directors and the chief executive officer, was re-designated as Class B common shares. Upon the completion of IPO, Mr. Cunjun Ma beneficially owned an aggregate of 150,591,207 Class B common shares, which represented 76.4% of the Company’s total voting power. All the issued and outstanding redeemable preferred shares and the rest of common shares converted into Class A common shares on a one-for-one basis.</w:t>
      </w:r>
    </w:p>
    <w:p>
      <w:pPr>
        <w:spacing w:after="0" w:line="161" w:lineRule="exact"/>
        <w:rPr>
          <w:sz w:val="20"/>
          <w:szCs w:val="20"/>
          <w:color w:val="auto"/>
        </w:rPr>
      </w:pPr>
    </w:p>
    <w:p>
      <w:pPr>
        <w:ind w:left="700" w:right="380" w:firstLine="393"/>
        <w:spacing w:after="0" w:line="284" w:lineRule="auto"/>
        <w:rPr>
          <w:sz w:val="20"/>
          <w:szCs w:val="20"/>
          <w:color w:val="auto"/>
        </w:rPr>
      </w:pPr>
      <w:r>
        <w:rPr>
          <w:rFonts w:ascii="Times New Roman" w:cs="Times New Roman" w:eastAsia="Times New Roman" w:hAnsi="Times New Roman"/>
          <w:sz w:val="16"/>
          <w:szCs w:val="16"/>
          <w:color w:val="auto"/>
        </w:rPr>
        <w:t>The holders of common shares are also entitled to receive dividends whenever funds are legally available and when declared by the Board of Directors, subject to prior rights of holders of all other classes of shares outstanding.</w:t>
      </w:r>
    </w:p>
    <w:p>
      <w:pPr>
        <w:spacing w:after="0" w:line="143" w:lineRule="exact"/>
        <w:rPr>
          <w:sz w:val="20"/>
          <w:szCs w:val="20"/>
          <w:color w:val="auto"/>
        </w:rPr>
      </w:pPr>
    </w:p>
    <w:p>
      <w:pPr>
        <w:ind w:left="700" w:right="20" w:firstLine="393"/>
        <w:spacing w:after="0" w:line="262" w:lineRule="auto"/>
        <w:rPr>
          <w:sz w:val="20"/>
          <w:szCs w:val="20"/>
          <w:color w:val="auto"/>
        </w:rPr>
      </w:pPr>
      <w:r>
        <w:rPr>
          <w:rFonts w:ascii="Times New Roman" w:cs="Times New Roman" w:eastAsia="Times New Roman" w:hAnsi="Times New Roman"/>
          <w:sz w:val="16"/>
          <w:szCs w:val="16"/>
          <w:color w:val="auto"/>
        </w:rPr>
        <w:t>In April 2020, board of directors authorized a share repurchase program under which the Company may repurchase up to US$10 million of its outstanding ADSs over the next 12 months, subject to relevant rules under the Securities Exchange Act of 1934, as amended, and the Company’s insider trading policy. As of December 31, 2021 and 2022, the Company repurchased 171,843 ADSs in total (equivalent to 3,436,860 shares) and 826,730 ADSs in total (equivalent to 16,534,600 shares), respectively, and the costs of treasury stock were RMB9,545 and RMB15,306, respectively.</w:t>
      </w:r>
    </w:p>
    <w:p>
      <w:pPr>
        <w:spacing w:after="0" w:line="10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F-52</w:t>
      </w:r>
    </w:p>
    <w:p>
      <w:pPr>
        <w:sectPr>
          <w:pgSz w:w="11900" w:h="16838" w:orient="portrait"/>
          <w:cols w:equalWidth="0" w:num="1">
            <w:col w:w="10540"/>
          </w:cols>
          <w:pgMar w:left="320" w:top="447" w:right="10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16. Redeemable preferred shares</w:t>
      </w:r>
    </w:p>
    <w:p>
      <w:pPr>
        <w:spacing w:after="0" w:line="107" w:lineRule="exact"/>
        <w:rPr>
          <w:sz w:val="20"/>
          <w:szCs w:val="20"/>
          <w:color w:val="auto"/>
        </w:rPr>
      </w:pPr>
    </w:p>
    <w:p>
      <w:pPr>
        <w:ind w:left="700" w:right="140" w:firstLine="393"/>
        <w:spacing w:after="0" w:line="267" w:lineRule="auto"/>
        <w:rPr>
          <w:sz w:val="20"/>
          <w:szCs w:val="20"/>
          <w:color w:val="auto"/>
        </w:rPr>
      </w:pPr>
      <w:r>
        <w:rPr>
          <w:rFonts w:ascii="Times New Roman" w:cs="Times New Roman" w:eastAsia="Times New Roman" w:hAnsi="Times New Roman"/>
          <w:sz w:val="16"/>
          <w:szCs w:val="16"/>
          <w:color w:val="auto"/>
        </w:rPr>
        <w:t>In September 2014, the Group issued 204,022,000 Series A Redeemable Preferred Shares (“Series A Redeemable Preferred Shares”) for an aggregate consideration of RMB39,404,003. Also, the Group upgraded 87,935,500 shares to Series A Redeemable preferred shares when these shares were transferred from Series Pre-A shareholders to Series A shareholders.</w:t>
      </w:r>
    </w:p>
    <w:p>
      <w:pPr>
        <w:spacing w:after="0" w:line="157" w:lineRule="exact"/>
        <w:rPr>
          <w:sz w:val="20"/>
          <w:szCs w:val="20"/>
          <w:color w:val="auto"/>
        </w:rPr>
      </w:pPr>
    </w:p>
    <w:p>
      <w:pPr>
        <w:ind w:left="700" w:right="40" w:firstLine="393"/>
        <w:spacing w:after="0" w:line="284" w:lineRule="auto"/>
        <w:rPr>
          <w:sz w:val="20"/>
          <w:szCs w:val="20"/>
          <w:color w:val="auto"/>
        </w:rPr>
      </w:pPr>
      <w:r>
        <w:rPr>
          <w:rFonts w:ascii="Times New Roman" w:cs="Times New Roman" w:eastAsia="Times New Roman" w:hAnsi="Times New Roman"/>
          <w:sz w:val="16"/>
          <w:szCs w:val="16"/>
          <w:color w:val="auto"/>
        </w:rPr>
        <w:t>In March 2016, the Group issued 185,512,580 Series B Redeemable Preferred Shares (“Series B Redeemable Preferred Shares”) for an aggregate consideration of RMB200,000.</w:t>
      </w:r>
    </w:p>
    <w:p>
      <w:pPr>
        <w:spacing w:after="0" w:line="143" w:lineRule="exact"/>
        <w:rPr>
          <w:sz w:val="20"/>
          <w:szCs w:val="20"/>
          <w:color w:val="auto"/>
        </w:rPr>
      </w:pPr>
    </w:p>
    <w:p>
      <w:pPr>
        <w:ind w:left="700" w:right="120" w:firstLine="393"/>
        <w:spacing w:after="0" w:line="284" w:lineRule="auto"/>
        <w:rPr>
          <w:sz w:val="20"/>
          <w:szCs w:val="20"/>
          <w:color w:val="auto"/>
        </w:rPr>
      </w:pPr>
      <w:r>
        <w:rPr>
          <w:rFonts w:ascii="Times New Roman" w:cs="Times New Roman" w:eastAsia="Times New Roman" w:hAnsi="Times New Roman"/>
          <w:sz w:val="16"/>
          <w:szCs w:val="16"/>
          <w:color w:val="auto"/>
        </w:rPr>
        <w:t>In July 2016, the Group issued 43,937,180 Series B+ Redeemable preferred shares (“Series B+ Redeemable Preferred Shares”) for an aggregate consideration of RMB62,500.</w:t>
      </w:r>
    </w:p>
    <w:p>
      <w:pPr>
        <w:spacing w:after="0" w:line="143"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During the year ended December 31, 2018, 16,574,460 Redeemable Preferred Shares (“Series B++ Redeemable Preferred Shares) were converted from the convertible bond with the principal amount of RMB24,520 and interest amount of RMB907.</w:t>
      </w:r>
    </w:p>
    <w:p>
      <w:pPr>
        <w:spacing w:after="0" w:line="8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F-53</w:t>
      </w:r>
    </w:p>
    <w:p>
      <w:pPr>
        <w:sectPr>
          <w:pgSz w:w="11900" w:h="16838" w:orient="portrait"/>
          <w:cols w:equalWidth="0" w:num="1">
            <w:col w:w="10480"/>
          </w:cols>
          <w:pgMar w:left="320" w:top="447" w:right="10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16. Redeemable preferred shares (Continued)</w:t>
      </w:r>
    </w:p>
    <w:p>
      <w:pPr>
        <w:spacing w:after="0" w:line="1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Group’s redeemable preferred shares activities for the years ended December 31, 2020, 2021 and 2022 are summarized below:</w:t>
      </w:r>
    </w:p>
    <w:p>
      <w:pPr>
        <w:spacing w:after="0" w:line="222"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620" w:type="dxa"/>
            <w:vAlign w:val="bottom"/>
          </w:tcPr>
          <w:p>
            <w:pPr>
              <w:spacing w:after="0"/>
              <w:rPr>
                <w:sz w:val="13"/>
                <w:szCs w:val="13"/>
                <w:color w:val="auto"/>
              </w:rPr>
            </w:pPr>
          </w:p>
        </w:tc>
        <w:tc>
          <w:tcPr>
            <w:tcW w:w="1840" w:type="dxa"/>
            <w:vAlign w:val="bottom"/>
            <w:gridSpan w:val="4"/>
          </w:tcPr>
          <w:p>
            <w:pPr>
              <w:jc w:val="right"/>
              <w:ind w:right="620"/>
              <w:spacing w:after="0"/>
              <w:rPr>
                <w:sz w:val="20"/>
                <w:szCs w:val="20"/>
                <w:color w:val="auto"/>
              </w:rPr>
            </w:pPr>
            <w:r>
              <w:rPr>
                <w:rFonts w:ascii="Times New Roman" w:cs="Times New Roman" w:eastAsia="Times New Roman" w:hAnsi="Times New Roman"/>
                <w:sz w:val="13"/>
                <w:szCs w:val="13"/>
                <w:color w:val="auto"/>
              </w:rPr>
              <w:t>Series A Shares</w:t>
            </w:r>
          </w:p>
        </w:tc>
        <w:tc>
          <w:tcPr>
            <w:tcW w:w="1940" w:type="dxa"/>
            <w:vAlign w:val="bottom"/>
            <w:gridSpan w:val="4"/>
          </w:tcPr>
          <w:p>
            <w:pPr>
              <w:jc w:val="right"/>
              <w:ind w:right="660"/>
              <w:spacing w:after="0"/>
              <w:rPr>
                <w:sz w:val="20"/>
                <w:szCs w:val="20"/>
                <w:color w:val="auto"/>
              </w:rPr>
            </w:pPr>
            <w:r>
              <w:rPr>
                <w:rFonts w:ascii="Times New Roman" w:cs="Times New Roman" w:eastAsia="Times New Roman" w:hAnsi="Times New Roman"/>
                <w:sz w:val="13"/>
                <w:szCs w:val="13"/>
                <w:color w:val="auto"/>
              </w:rPr>
              <w:t>Series B Shares</w:t>
            </w:r>
          </w:p>
        </w:tc>
        <w:tc>
          <w:tcPr>
            <w:tcW w:w="1760" w:type="dxa"/>
            <w:vAlign w:val="bottom"/>
            <w:gridSpan w:val="4"/>
          </w:tcPr>
          <w:p>
            <w:pPr>
              <w:jc w:val="right"/>
              <w:ind w:right="540"/>
              <w:spacing w:after="0"/>
              <w:rPr>
                <w:sz w:val="20"/>
                <w:szCs w:val="20"/>
                <w:color w:val="auto"/>
              </w:rPr>
            </w:pPr>
            <w:r>
              <w:rPr>
                <w:rFonts w:ascii="Times New Roman" w:cs="Times New Roman" w:eastAsia="Times New Roman" w:hAnsi="Times New Roman"/>
                <w:sz w:val="13"/>
                <w:szCs w:val="13"/>
                <w:color w:val="auto"/>
              </w:rPr>
              <w:t>Series B+ Shares</w:t>
            </w:r>
          </w:p>
        </w:tc>
        <w:tc>
          <w:tcPr>
            <w:tcW w:w="1680" w:type="dxa"/>
            <w:vAlign w:val="bottom"/>
            <w:gridSpan w:val="4"/>
          </w:tcPr>
          <w:p>
            <w:pPr>
              <w:jc w:val="right"/>
              <w:ind w:right="400"/>
              <w:spacing w:after="0"/>
              <w:rPr>
                <w:sz w:val="20"/>
                <w:szCs w:val="20"/>
                <w:color w:val="auto"/>
              </w:rPr>
            </w:pPr>
            <w:r>
              <w:rPr>
                <w:rFonts w:ascii="Times New Roman" w:cs="Times New Roman" w:eastAsia="Times New Roman" w:hAnsi="Times New Roman"/>
                <w:sz w:val="13"/>
                <w:szCs w:val="13"/>
                <w:color w:val="auto"/>
              </w:rPr>
              <w:t>Series B++ Shares</w:t>
            </w:r>
          </w:p>
        </w:tc>
        <w:tc>
          <w:tcPr>
            <w:tcW w:w="0" w:type="dxa"/>
            <w:vAlign w:val="bottom"/>
          </w:tcPr>
          <w:p>
            <w:pPr>
              <w:spacing w:after="0"/>
              <w:rPr>
                <w:sz w:val="1"/>
                <w:szCs w:val="1"/>
                <w:color w:val="auto"/>
              </w:rPr>
            </w:pPr>
          </w:p>
        </w:tc>
      </w:tr>
      <w:tr>
        <w:trPr>
          <w:trHeight w:val="105"/>
        </w:trPr>
        <w:tc>
          <w:tcPr>
            <w:tcW w:w="2620" w:type="dxa"/>
            <w:vAlign w:val="bottom"/>
          </w:tcPr>
          <w:p>
            <w:pPr>
              <w:spacing w:after="0"/>
              <w:rPr>
                <w:sz w:val="9"/>
                <w:szCs w:val="9"/>
                <w:color w:val="auto"/>
              </w:rPr>
            </w:pPr>
          </w:p>
        </w:tc>
        <w:tc>
          <w:tcPr>
            <w:tcW w:w="1100" w:type="dxa"/>
            <w:vAlign w:val="bottom"/>
            <w:tcBorders>
              <w:top w:val="single" w:sz="8" w:color="auto"/>
            </w:tcBorders>
            <w:gridSpan w:val="2"/>
          </w:tcPr>
          <w:p>
            <w:pPr>
              <w:jc w:val="right"/>
              <w:ind w:right="380"/>
              <w:spacing w:after="0" w:line="105" w:lineRule="exact"/>
              <w:rPr>
                <w:sz w:val="20"/>
                <w:szCs w:val="20"/>
                <w:color w:val="auto"/>
              </w:rPr>
            </w:pPr>
            <w:r>
              <w:rPr>
                <w:rFonts w:ascii="Times New Roman" w:cs="Times New Roman" w:eastAsia="Times New Roman" w:hAnsi="Times New Roman"/>
                <w:sz w:val="12"/>
                <w:szCs w:val="12"/>
                <w:color w:val="auto"/>
              </w:rPr>
              <w:t>Number of</w:t>
            </w:r>
          </w:p>
        </w:tc>
        <w:tc>
          <w:tcPr>
            <w:tcW w:w="56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color w:val="auto"/>
              </w:rPr>
              <w:t>Amount</w:t>
            </w:r>
          </w:p>
        </w:tc>
        <w:tc>
          <w:tcPr>
            <w:tcW w:w="180" w:type="dxa"/>
            <w:vAlign w:val="bottom"/>
          </w:tcPr>
          <w:p>
            <w:pPr>
              <w:spacing w:after="0"/>
              <w:rPr>
                <w:sz w:val="9"/>
                <w:szCs w:val="9"/>
                <w:color w:val="auto"/>
              </w:rPr>
            </w:pPr>
          </w:p>
        </w:tc>
        <w:tc>
          <w:tcPr>
            <w:tcW w:w="1120" w:type="dxa"/>
            <w:vAlign w:val="bottom"/>
            <w:tcBorders>
              <w:top w:val="single" w:sz="8" w:color="auto"/>
            </w:tcBorders>
            <w:gridSpan w:val="2"/>
          </w:tcPr>
          <w:p>
            <w:pPr>
              <w:jc w:val="right"/>
              <w:ind w:right="380"/>
              <w:spacing w:after="0" w:line="105" w:lineRule="exact"/>
              <w:rPr>
                <w:sz w:val="20"/>
                <w:szCs w:val="20"/>
                <w:color w:val="auto"/>
              </w:rPr>
            </w:pPr>
            <w:r>
              <w:rPr>
                <w:rFonts w:ascii="Times New Roman" w:cs="Times New Roman" w:eastAsia="Times New Roman" w:hAnsi="Times New Roman"/>
                <w:sz w:val="12"/>
                <w:szCs w:val="12"/>
                <w:color w:val="auto"/>
              </w:rPr>
              <w:t>Number of</w:t>
            </w:r>
          </w:p>
        </w:tc>
        <w:tc>
          <w:tcPr>
            <w:tcW w:w="62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color w:val="auto"/>
              </w:rPr>
              <w:t>Amount</w:t>
            </w:r>
          </w:p>
        </w:tc>
        <w:tc>
          <w:tcPr>
            <w:tcW w:w="200" w:type="dxa"/>
            <w:vAlign w:val="bottom"/>
          </w:tcPr>
          <w:p>
            <w:pPr>
              <w:spacing w:after="0"/>
              <w:rPr>
                <w:sz w:val="9"/>
                <w:szCs w:val="9"/>
                <w:color w:val="auto"/>
              </w:rPr>
            </w:pPr>
          </w:p>
        </w:tc>
        <w:tc>
          <w:tcPr>
            <w:tcW w:w="1020" w:type="dxa"/>
            <w:vAlign w:val="bottom"/>
            <w:tcBorders>
              <w:top w:val="single" w:sz="8" w:color="auto"/>
            </w:tcBorders>
            <w:gridSpan w:val="2"/>
          </w:tcPr>
          <w:p>
            <w:pPr>
              <w:jc w:val="right"/>
              <w:ind w:right="340"/>
              <w:spacing w:after="0" w:line="105" w:lineRule="exact"/>
              <w:rPr>
                <w:sz w:val="20"/>
                <w:szCs w:val="20"/>
                <w:color w:val="auto"/>
              </w:rPr>
            </w:pPr>
            <w:r>
              <w:rPr>
                <w:rFonts w:ascii="Times New Roman" w:cs="Times New Roman" w:eastAsia="Times New Roman" w:hAnsi="Times New Roman"/>
                <w:sz w:val="12"/>
                <w:szCs w:val="12"/>
                <w:color w:val="auto"/>
              </w:rPr>
              <w:t>Number of</w:t>
            </w:r>
          </w:p>
        </w:tc>
        <w:tc>
          <w:tcPr>
            <w:tcW w:w="56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color w:val="auto"/>
              </w:rPr>
              <w:t>Amount</w:t>
            </w:r>
          </w:p>
        </w:tc>
        <w:tc>
          <w:tcPr>
            <w:tcW w:w="180" w:type="dxa"/>
            <w:vAlign w:val="bottom"/>
          </w:tcPr>
          <w:p>
            <w:pPr>
              <w:spacing w:after="0"/>
              <w:rPr>
                <w:sz w:val="9"/>
                <w:szCs w:val="9"/>
                <w:color w:val="auto"/>
              </w:rPr>
            </w:pPr>
          </w:p>
        </w:tc>
        <w:tc>
          <w:tcPr>
            <w:tcW w:w="1020" w:type="dxa"/>
            <w:vAlign w:val="bottom"/>
            <w:tcBorders>
              <w:top w:val="single" w:sz="8" w:color="auto"/>
            </w:tcBorders>
            <w:gridSpan w:val="2"/>
          </w:tcPr>
          <w:p>
            <w:pPr>
              <w:jc w:val="right"/>
              <w:ind w:right="320"/>
              <w:spacing w:after="0" w:line="105" w:lineRule="exact"/>
              <w:rPr>
                <w:sz w:val="20"/>
                <w:szCs w:val="20"/>
                <w:color w:val="auto"/>
              </w:rPr>
            </w:pPr>
            <w:r>
              <w:rPr>
                <w:rFonts w:ascii="Times New Roman" w:cs="Times New Roman" w:eastAsia="Times New Roman" w:hAnsi="Times New Roman"/>
                <w:sz w:val="12"/>
                <w:szCs w:val="12"/>
                <w:color w:val="auto"/>
              </w:rPr>
              <w:t>Number of</w:t>
            </w:r>
          </w:p>
        </w:tc>
        <w:tc>
          <w:tcPr>
            <w:tcW w:w="56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color w:val="auto"/>
              </w:rPr>
              <w:t>Amount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62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Shares</w:t>
            </w: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5"/>
              </w:rPr>
              <w:t>(RMB)</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Shares</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rPr>
              <w:t>(RMB)</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Shares</w:t>
            </w: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5"/>
              </w:rPr>
              <w:t>(RMB)</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Shares</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(RMB)</w:t>
            </w:r>
          </w:p>
        </w:tc>
        <w:tc>
          <w:tcPr>
            <w:tcW w:w="0" w:type="dxa"/>
            <w:vAlign w:val="bottom"/>
          </w:tcPr>
          <w:p>
            <w:pPr>
              <w:spacing w:after="0"/>
              <w:rPr>
                <w:sz w:val="1"/>
                <w:szCs w:val="1"/>
                <w:color w:val="auto"/>
              </w:rPr>
            </w:pPr>
          </w:p>
        </w:tc>
      </w:tr>
      <w:tr>
        <w:trPr>
          <w:trHeight w:val="19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January 1, 2020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204,022,000</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84,072</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185,512,580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261,272</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43,937,180</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81,654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16,574,460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27,629</w:t>
            </w:r>
          </w:p>
        </w:tc>
        <w:tc>
          <w:tcPr>
            <w:tcW w:w="0" w:type="dxa"/>
            <w:vAlign w:val="bottom"/>
          </w:tcPr>
          <w:p>
            <w:pPr>
              <w:spacing w:after="0"/>
              <w:rPr>
                <w:sz w:val="1"/>
                <w:szCs w:val="1"/>
                <w:color w:val="auto"/>
              </w:rPr>
            </w:pPr>
          </w:p>
        </w:tc>
      </w:tr>
      <w:tr>
        <w:trPr>
          <w:trHeight w:val="176"/>
        </w:trPr>
        <w:tc>
          <w:tcPr>
            <w:tcW w:w="26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Redeemable Preferred Shares</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redemption value accretion</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788</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2,634</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701</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Conversion and re-designation of</w:t>
            </w: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preferred shares into Class A</w:t>
            </w: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shares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(204,022,000)</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(84,860)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(185,512,580)</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(263,906)</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(43,937,180)</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(82,355)</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(16,574,460)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(27,780)</w:t>
            </w:r>
          </w:p>
        </w:tc>
        <w:tc>
          <w:tcPr>
            <w:tcW w:w="0" w:type="dxa"/>
            <w:vAlign w:val="bottom"/>
          </w:tcPr>
          <w:p>
            <w:pPr>
              <w:spacing w:after="0"/>
              <w:rPr>
                <w:sz w:val="1"/>
                <w:szCs w:val="1"/>
                <w:color w:val="auto"/>
              </w:rPr>
            </w:pPr>
          </w:p>
        </w:tc>
      </w:tr>
      <w:tr>
        <w:trPr>
          <w:trHeight w:val="197"/>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Balances as of December 31, 2020</w:t>
            </w:r>
          </w:p>
        </w:tc>
        <w:tc>
          <w:tcPr>
            <w:tcW w:w="9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6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Balances as of December 31, 2021</w:t>
            </w:r>
          </w:p>
        </w:tc>
        <w:tc>
          <w:tcPr>
            <w:tcW w:w="900" w:type="dxa"/>
            <w:vAlign w:val="bottom"/>
            <w:tcBorders>
              <w:bottom w:val="single" w:sz="8" w:color="auto"/>
            </w:tcBorders>
            <w:shd w:val="clear" w:color="auto" w:fill="CCEEFF"/>
          </w:tcPr>
          <w:p>
            <w:pPr>
              <w:jc w:val="right"/>
              <w:ind w:right="6"/>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3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3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3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
              <w:spacing w:after="0" w:line="18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3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Balances as of December 31, 2022</w:t>
            </w:r>
          </w:p>
        </w:tc>
        <w:tc>
          <w:tcPr>
            <w:tcW w:w="11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620" w:type="dxa"/>
            <w:vAlign w:val="bottom"/>
            <w:vMerge w:val="continue"/>
          </w:tcPr>
          <w:p>
            <w:pPr>
              <w:spacing w:after="0"/>
              <w:rPr>
                <w:sz w:val="15"/>
                <w:szCs w:val="15"/>
                <w:color w:val="auto"/>
              </w:rPr>
            </w:pPr>
          </w:p>
        </w:tc>
        <w:tc>
          <w:tcPr>
            <w:tcW w:w="900" w:type="dxa"/>
            <w:vAlign w:val="bottom"/>
            <w:tcBorders>
              <w:top w:val="single" w:sz="8" w:color="auto"/>
              <w:bottom w:val="single" w:sz="8" w:color="auto"/>
            </w:tcBorders>
          </w:tcPr>
          <w:p>
            <w:pPr>
              <w:jc w:val="right"/>
              <w:ind w:right="6"/>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560" w:type="dxa"/>
            <w:vAlign w:val="bottom"/>
            <w:tcBorders>
              <w:top w:val="single" w:sz="8" w:color="auto"/>
              <w:bottom w:val="single" w:sz="8" w:color="auto"/>
            </w:tcBorders>
          </w:tcPr>
          <w:p>
            <w:pPr>
              <w:ind w:left="3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ind w:right="6"/>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620" w:type="dxa"/>
            <w:vAlign w:val="bottom"/>
            <w:tcBorders>
              <w:top w:val="single" w:sz="8" w:color="auto"/>
              <w:bottom w:val="single" w:sz="8" w:color="auto"/>
            </w:tcBorders>
          </w:tcPr>
          <w:p>
            <w:pPr>
              <w:ind w:left="3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ind w:right="6"/>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560" w:type="dxa"/>
            <w:vAlign w:val="bottom"/>
            <w:tcBorders>
              <w:top w:val="single" w:sz="8" w:color="auto"/>
              <w:bottom w:val="single" w:sz="8" w:color="auto"/>
            </w:tcBorders>
          </w:tcPr>
          <w:p>
            <w:pPr>
              <w:ind w:left="3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6"/>
              <w:spacing w:after="0" w:line="18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560" w:type="dxa"/>
            <w:vAlign w:val="bottom"/>
            <w:tcBorders>
              <w:top w:val="single" w:sz="8" w:color="auto"/>
              <w:bottom w:val="single" w:sz="8" w:color="auto"/>
            </w:tcBorders>
          </w:tcPr>
          <w:p>
            <w:pPr>
              <w:ind w:left="3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redeemable preferred shares issued by the Company carry the following rights:</w:t>
      </w:r>
    </w:p>
    <w:p>
      <w:pPr>
        <w:spacing w:after="0" w:line="29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u w:val="single" w:color="auto"/>
          <w:color w:val="auto"/>
        </w:rPr>
        <w:t>Voting right and board seats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Redeemable Preferred Shareholders shall have the right to one vote for each Redeemable Preferred Share, the same as common shareholders.</w:t>
      </w:r>
    </w:p>
    <w:p>
      <w:pPr>
        <w:spacing w:after="0" w:line="202" w:lineRule="exact"/>
        <w:rPr>
          <w:sz w:val="20"/>
          <w:szCs w:val="20"/>
          <w:color w:val="auto"/>
        </w:rPr>
      </w:pPr>
    </w:p>
    <w:p>
      <w:pPr>
        <w:ind w:left="700" w:right="220" w:firstLine="393"/>
        <w:spacing w:after="0" w:line="284" w:lineRule="auto"/>
        <w:rPr>
          <w:sz w:val="20"/>
          <w:szCs w:val="20"/>
          <w:color w:val="auto"/>
        </w:rPr>
      </w:pPr>
      <w:r>
        <w:rPr>
          <w:rFonts w:ascii="Times New Roman" w:cs="Times New Roman" w:eastAsia="Times New Roman" w:hAnsi="Times New Roman"/>
          <w:sz w:val="16"/>
          <w:szCs w:val="16"/>
          <w:color w:val="auto"/>
        </w:rPr>
        <w:t>The Redeemable Preferred Shareholders are entitled to appoint a total of three directors of the Board. To constitute a quorum for the meeting of the Board, it must include the three directors appointed by Redeemable Preferred Shareholders or their entrusted proxies.</w:t>
      </w:r>
    </w:p>
    <w:p>
      <w:pPr>
        <w:spacing w:after="0" w:line="8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F-54</w:t>
      </w:r>
    </w:p>
    <w:p>
      <w:pPr>
        <w:sectPr>
          <w:pgSz w:w="11900" w:h="16838" w:orient="portrait"/>
          <w:cols w:equalWidth="0" w:num="1">
            <w:col w:w="10540"/>
          </w:cols>
          <w:pgMar w:left="320" w:top="447" w:right="10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16. Redeemable preferred shares (Continued)</w:t>
      </w:r>
    </w:p>
    <w:p>
      <w:pPr>
        <w:spacing w:after="0" w:line="14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u w:val="single" w:color="auto"/>
          <w:color w:val="auto"/>
        </w:rPr>
        <w:t>Redemption</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Redemption Condition for Redeemable Preferred Shares:</w:t>
      </w:r>
    </w:p>
    <w:p>
      <w:pPr>
        <w:spacing w:after="0" w:line="20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Redeemable Preferred Shares are redeemable in the event of the Company fails to complete a qualified IPO before December 31, 2020.</w:t>
      </w:r>
    </w:p>
    <w:p>
      <w:pPr>
        <w:spacing w:after="0" w:line="202" w:lineRule="exact"/>
        <w:rPr>
          <w:sz w:val="20"/>
          <w:szCs w:val="20"/>
          <w:color w:val="auto"/>
        </w:rPr>
      </w:pPr>
    </w:p>
    <w:p>
      <w:pPr>
        <w:ind w:left="700" w:right="20" w:firstLine="393"/>
        <w:spacing w:after="0" w:line="267" w:lineRule="auto"/>
        <w:rPr>
          <w:sz w:val="20"/>
          <w:szCs w:val="20"/>
          <w:color w:val="auto"/>
        </w:rPr>
      </w:pPr>
      <w:r>
        <w:rPr>
          <w:rFonts w:ascii="Times New Roman" w:cs="Times New Roman" w:eastAsia="Times New Roman" w:hAnsi="Times New Roman"/>
          <w:sz w:val="16"/>
          <w:szCs w:val="16"/>
          <w:color w:val="auto"/>
        </w:rPr>
        <w:t>The redemption price of the investor of Series B+ and Series B is the investment amount of the investors plus the annual rate of return on compound interest of 8% per annum. The redemption price of the investor of Series A and Series B++ is the investment amount of the investors plus the internal rate of return of compound interest of 10% per annum.</w:t>
      </w:r>
    </w:p>
    <w:p>
      <w:pPr>
        <w:spacing w:after="0" w:line="157" w:lineRule="exact"/>
        <w:rPr>
          <w:sz w:val="20"/>
          <w:szCs w:val="20"/>
          <w:color w:val="auto"/>
        </w:rPr>
      </w:pPr>
    </w:p>
    <w:p>
      <w:pPr>
        <w:ind w:left="700" w:right="100" w:firstLine="393"/>
        <w:spacing w:after="0" w:line="262" w:lineRule="auto"/>
        <w:rPr>
          <w:sz w:val="20"/>
          <w:szCs w:val="20"/>
          <w:color w:val="auto"/>
        </w:rPr>
      </w:pPr>
      <w:r>
        <w:rPr>
          <w:rFonts w:ascii="Times New Roman" w:cs="Times New Roman" w:eastAsia="Times New Roman" w:hAnsi="Times New Roman"/>
          <w:sz w:val="16"/>
          <w:szCs w:val="16"/>
          <w:color w:val="auto"/>
        </w:rPr>
        <w:t>The Group accretes changes in the redemption value over the period from the date of issuance of the Redeemable Preferred Shares to their respective earliest redemption date using the contractual interest rate. Changes in the redemption value are considered to be changes in accounting estimates. The accretion will be recorded against retained earnings, or in the absence of retained earnings, by charges against additional paid-in capital. Once additional paid-in capital has been exhausted, additional charges should be recorded by increasing the accumulated deficit.</w:t>
      </w:r>
    </w:p>
    <w:p>
      <w:pPr>
        <w:spacing w:after="0" w:line="25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u w:val="single" w:color="auto"/>
          <w:color w:val="auto"/>
        </w:rPr>
        <w:t>Dividends Rights</w:t>
      </w:r>
    </w:p>
    <w:p>
      <w:pPr>
        <w:spacing w:after="0" w:line="107" w:lineRule="exact"/>
        <w:rPr>
          <w:sz w:val="20"/>
          <w:szCs w:val="20"/>
          <w:color w:val="auto"/>
        </w:rPr>
      </w:pPr>
    </w:p>
    <w:p>
      <w:pPr>
        <w:ind w:left="700" w:right="400" w:firstLine="393"/>
        <w:spacing w:after="0" w:line="284" w:lineRule="auto"/>
        <w:rPr>
          <w:sz w:val="20"/>
          <w:szCs w:val="20"/>
          <w:color w:val="auto"/>
        </w:rPr>
      </w:pPr>
      <w:r>
        <w:rPr>
          <w:rFonts w:ascii="Times New Roman" w:cs="Times New Roman" w:eastAsia="Times New Roman" w:hAnsi="Times New Roman"/>
          <w:sz w:val="16"/>
          <w:szCs w:val="16"/>
          <w:color w:val="auto"/>
        </w:rPr>
        <w:t>The Redeemable Preferred Shareholders shall be entitled to receive dividend according to their actual investment ratio, the same as common shareholders.</w:t>
      </w:r>
    </w:p>
    <w:p>
      <w:pPr>
        <w:spacing w:after="0" w:line="1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As explained in note 15, all the redeemable preferred shares conversed into Class A common shares on a one-for-one basis upon the completion of</w:t>
      </w:r>
    </w:p>
    <w:p>
      <w:pPr>
        <w:spacing w:after="0" w:line="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IPO.</w:t>
      </w:r>
    </w:p>
    <w:p>
      <w:pPr>
        <w:spacing w:after="0" w:line="2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17. Share-based compensation</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Share-based compensation was recognized in operating expenses for the years ended December 31, 2020, 2021 and 2022 as follows:</w:t>
      </w:r>
    </w:p>
    <w:p>
      <w:pPr>
        <w:spacing w:after="0" w:line="222" w:lineRule="exact"/>
        <w:rPr>
          <w:sz w:val="20"/>
          <w:szCs w:val="20"/>
          <w:color w:val="auto"/>
        </w:rPr>
      </w:pPr>
    </w:p>
    <w:tbl>
      <w:tblPr>
        <w:tblLayout w:type="fixed"/>
        <w:tblInd w:w="1500" w:type="dxa"/>
        <w:tblCellMar>
          <w:top w:w="0" w:type="dxa"/>
          <w:left w:w="0" w:type="dxa"/>
          <w:bottom w:w="0" w:type="dxa"/>
          <w:right w:w="0" w:type="dxa"/>
        </w:tblCellMar>
      </w:tblPr>
      <w:tr>
        <w:trPr>
          <w:trHeight w:val="153"/>
        </w:trPr>
        <w:tc>
          <w:tcPr>
            <w:tcW w:w="31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900" w:type="dxa"/>
            <w:vAlign w:val="bottom"/>
            <w:gridSpan w:val="6"/>
          </w:tcPr>
          <w:p>
            <w:pPr>
              <w:jc w:val="center"/>
              <w:ind w:right="60"/>
              <w:spacing w:after="0"/>
              <w:rPr>
                <w:sz w:val="20"/>
                <w:szCs w:val="20"/>
                <w:color w:val="auto"/>
              </w:rPr>
            </w:pPr>
            <w:r>
              <w:rPr>
                <w:rFonts w:ascii="Times New Roman" w:cs="Times New Roman" w:eastAsia="Times New Roman" w:hAnsi="Times New Roman"/>
                <w:sz w:val="13"/>
                <w:szCs w:val="13"/>
                <w:color w:val="auto"/>
                <w:w w:val="98"/>
              </w:rPr>
              <w:t>For the year Ended December 31,</w:t>
            </w:r>
          </w:p>
        </w:tc>
      </w:tr>
      <w:tr>
        <w:trPr>
          <w:trHeight w:val="125"/>
        </w:trPr>
        <w:tc>
          <w:tcPr>
            <w:tcW w:w="3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500" w:type="dxa"/>
            <w:vAlign w:val="bottom"/>
            <w:tcBorders>
              <w:top w:val="single" w:sz="8" w:color="auto"/>
            </w:tcBorders>
          </w:tcPr>
          <w:p>
            <w:pPr>
              <w:jc w:val="right"/>
              <w:ind w:right="49"/>
              <w:spacing w:after="0" w:line="125" w:lineRule="exact"/>
              <w:rPr>
                <w:sz w:val="20"/>
                <w:szCs w:val="20"/>
                <w:color w:val="auto"/>
              </w:rPr>
            </w:pPr>
            <w:r>
              <w:rPr>
                <w:rFonts w:ascii="Times New Roman" w:cs="Times New Roman" w:eastAsia="Times New Roman" w:hAnsi="Times New Roman"/>
                <w:sz w:val="13"/>
                <w:szCs w:val="13"/>
                <w:color w:val="auto"/>
              </w:rPr>
              <w:t>2020</w:t>
            </w:r>
          </w:p>
        </w:tc>
        <w:tc>
          <w:tcPr>
            <w:tcW w:w="680" w:type="dxa"/>
            <w:vAlign w:val="bottom"/>
            <w:tcBorders>
              <w:top w:val="single" w:sz="8" w:color="auto"/>
            </w:tcBorders>
            <w:gridSpan w:val="2"/>
          </w:tcPr>
          <w:p>
            <w:pPr>
              <w:jc w:val="center"/>
              <w:ind w:left="104"/>
              <w:spacing w:after="0" w:line="125" w:lineRule="exact"/>
              <w:rPr>
                <w:sz w:val="20"/>
                <w:szCs w:val="20"/>
                <w:color w:val="auto"/>
              </w:rPr>
            </w:pPr>
            <w:r>
              <w:rPr>
                <w:rFonts w:ascii="Times New Roman" w:cs="Times New Roman" w:eastAsia="Times New Roman" w:hAnsi="Times New Roman"/>
                <w:sz w:val="13"/>
                <w:szCs w:val="13"/>
                <w:color w:val="auto"/>
                <w:w w:val="99"/>
              </w:rPr>
              <w:t>2021</w:t>
            </w: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44"/>
              <w:spacing w:after="0" w:line="125" w:lineRule="exact"/>
              <w:rPr>
                <w:sz w:val="20"/>
                <w:szCs w:val="20"/>
                <w:color w:val="auto"/>
              </w:rPr>
            </w:pPr>
            <w:r>
              <w:rPr>
                <w:rFonts w:ascii="Times New Roman" w:cs="Times New Roman" w:eastAsia="Times New Roman" w:hAnsi="Times New Roman"/>
                <w:sz w:val="13"/>
                <w:szCs w:val="13"/>
                <w:color w:val="auto"/>
              </w:rPr>
              <w:t>2022</w:t>
            </w:r>
          </w:p>
        </w:tc>
        <w:tc>
          <w:tcPr>
            <w:tcW w:w="60" w:type="dxa"/>
            <w:vAlign w:val="bottom"/>
          </w:tcPr>
          <w:p>
            <w:pPr>
              <w:spacing w:after="0"/>
              <w:rPr>
                <w:sz w:val="10"/>
                <w:szCs w:val="10"/>
                <w:color w:val="auto"/>
              </w:rPr>
            </w:pPr>
          </w:p>
        </w:tc>
      </w:tr>
      <w:tr>
        <w:trPr>
          <w:trHeight w:val="125"/>
        </w:trPr>
        <w:tc>
          <w:tcPr>
            <w:tcW w:w="3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500" w:type="dxa"/>
            <w:vAlign w:val="bottom"/>
            <w:tcBorders>
              <w:top w:val="single" w:sz="8" w:color="auto"/>
            </w:tcBorders>
          </w:tcPr>
          <w:p>
            <w:pPr>
              <w:jc w:val="right"/>
              <w:ind w:right="49"/>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200" w:type="dxa"/>
            <w:vAlign w:val="bottom"/>
          </w:tcPr>
          <w:p>
            <w:pPr>
              <w:spacing w:after="0"/>
              <w:rPr>
                <w:sz w:val="10"/>
                <w:szCs w:val="10"/>
                <w:color w:val="auto"/>
              </w:rPr>
            </w:pPr>
          </w:p>
        </w:tc>
        <w:tc>
          <w:tcPr>
            <w:tcW w:w="4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180" w:type="dxa"/>
            <w:vAlign w:val="bottom"/>
          </w:tcPr>
          <w:p>
            <w:pPr>
              <w:spacing w:after="0"/>
              <w:rPr>
                <w:sz w:val="10"/>
                <w:szCs w:val="10"/>
                <w:color w:val="auto"/>
              </w:rPr>
            </w:pPr>
          </w:p>
        </w:tc>
        <w:tc>
          <w:tcPr>
            <w:tcW w:w="480" w:type="dxa"/>
            <w:vAlign w:val="bottom"/>
            <w:tcBorders>
              <w:top w:val="single" w:sz="8" w:color="auto"/>
            </w:tcBorders>
          </w:tcPr>
          <w:p>
            <w:pPr>
              <w:jc w:val="right"/>
              <w:ind w:right="24"/>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60" w:type="dxa"/>
            <w:vAlign w:val="bottom"/>
          </w:tcPr>
          <w:p>
            <w:pPr>
              <w:spacing w:after="0"/>
              <w:rPr>
                <w:sz w:val="10"/>
                <w:szCs w:val="10"/>
                <w:color w:val="auto"/>
              </w:rPr>
            </w:pPr>
          </w:p>
        </w:tc>
      </w:tr>
      <w:tr>
        <w:trPr>
          <w:trHeight w:val="19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3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(387)</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shd w:val="clear" w:color="auto" w:fill="CCEEFF"/>
          </w:tcPr>
          <w:p>
            <w:pPr>
              <w:spacing w:after="0"/>
              <w:rPr>
                <w:sz w:val="16"/>
                <w:szCs w:val="16"/>
                <w:color w:val="auto"/>
              </w:rPr>
            </w:pPr>
          </w:p>
        </w:tc>
      </w:tr>
      <w:tr>
        <w:trPr>
          <w:trHeight w:val="19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Selling expenses</w:t>
            </w:r>
          </w:p>
        </w:tc>
        <w:tc>
          <w:tcPr>
            <w:tcW w:w="3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(475)</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60" w:type="dxa"/>
            <w:vAlign w:val="bottom"/>
          </w:tcPr>
          <w:p>
            <w:pPr>
              <w:spacing w:after="0"/>
              <w:rPr>
                <w:sz w:val="16"/>
                <w:szCs w:val="16"/>
                <w:color w:val="auto"/>
              </w:rPr>
            </w:pPr>
          </w:p>
        </w:tc>
      </w:tr>
      <w:tr>
        <w:trPr>
          <w:trHeight w:val="19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40,820</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(665)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9,151</w:t>
            </w:r>
          </w:p>
        </w:tc>
        <w:tc>
          <w:tcPr>
            <w:tcW w:w="60" w:type="dxa"/>
            <w:vAlign w:val="bottom"/>
            <w:shd w:val="clear" w:color="auto" w:fill="CCEEFF"/>
          </w:tcPr>
          <w:p>
            <w:pPr>
              <w:spacing w:after="0"/>
              <w:rPr>
                <w:sz w:val="16"/>
                <w:szCs w:val="16"/>
                <w:color w:val="auto"/>
              </w:rPr>
            </w:pPr>
          </w:p>
        </w:tc>
      </w:tr>
      <w:tr>
        <w:trPr>
          <w:trHeight w:val="19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2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(297)</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60" w:type="dxa"/>
            <w:vAlign w:val="bottom"/>
          </w:tcPr>
          <w:p>
            <w:pPr>
              <w:spacing w:after="0"/>
              <w:rPr>
                <w:sz w:val="16"/>
                <w:szCs w:val="16"/>
                <w:color w:val="auto"/>
              </w:rPr>
            </w:pPr>
          </w:p>
        </w:tc>
      </w:tr>
      <w:tr>
        <w:trPr>
          <w:trHeight w:val="24"/>
        </w:trPr>
        <w:tc>
          <w:tcPr>
            <w:tcW w:w="31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3"/>
        </w:trPr>
        <w:tc>
          <w:tcPr>
            <w:tcW w:w="316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52,253</w:t>
            </w: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(1,824)</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10,411</w:t>
            </w:r>
          </w:p>
        </w:tc>
        <w:tc>
          <w:tcPr>
            <w:tcW w:w="60" w:type="dxa"/>
            <w:vAlign w:val="bottom"/>
            <w:shd w:val="clear" w:color="auto" w:fill="CCEEFF"/>
          </w:tcPr>
          <w:p>
            <w:pPr>
              <w:spacing w:after="0"/>
              <w:rPr>
                <w:sz w:val="16"/>
                <w:szCs w:val="16"/>
                <w:color w:val="auto"/>
              </w:rPr>
            </w:pPr>
          </w:p>
        </w:tc>
      </w:tr>
      <w:tr>
        <w:trPr>
          <w:trHeight w:val="20"/>
        </w:trPr>
        <w:tc>
          <w:tcPr>
            <w:tcW w:w="3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3"/>
        </w:trPr>
        <w:tc>
          <w:tcPr>
            <w:tcW w:w="3160" w:type="dxa"/>
            <w:vAlign w:val="bottom"/>
          </w:tcPr>
          <w:p>
            <w:pPr>
              <w:spacing w:after="0"/>
              <w:rPr>
                <w:sz w:val="24"/>
                <w:szCs w:val="24"/>
                <w:color w:val="auto"/>
              </w:rPr>
            </w:pPr>
          </w:p>
        </w:tc>
        <w:tc>
          <w:tcPr>
            <w:tcW w:w="3700" w:type="dxa"/>
            <w:vAlign w:val="bottom"/>
            <w:gridSpan w:val="2"/>
          </w:tcPr>
          <w:p>
            <w:pPr>
              <w:jc w:val="right"/>
              <w:ind w:right="2509"/>
              <w:spacing w:after="0"/>
              <w:rPr>
                <w:sz w:val="20"/>
                <w:szCs w:val="20"/>
                <w:color w:val="auto"/>
              </w:rPr>
            </w:pPr>
            <w:r>
              <w:rPr>
                <w:rFonts w:ascii="Times New Roman" w:cs="Times New Roman" w:eastAsia="Times New Roman" w:hAnsi="Times New Roman"/>
                <w:sz w:val="16"/>
                <w:szCs w:val="16"/>
                <w:color w:val="auto"/>
              </w:rPr>
              <w:t>F-55</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520"/>
          </w:cols>
          <w:pgMar w:left="320" w:top="447" w:right="10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17. Share-based compensation (continued)</w:t>
      </w:r>
    </w:p>
    <w:p>
      <w:pPr>
        <w:spacing w:after="0" w:line="14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Global Share Incentive Plan</w:t>
      </w:r>
    </w:p>
    <w:p>
      <w:pPr>
        <w:spacing w:after="0" w:line="107" w:lineRule="exact"/>
        <w:rPr>
          <w:sz w:val="20"/>
          <w:szCs w:val="20"/>
          <w:color w:val="auto"/>
        </w:rPr>
      </w:pPr>
    </w:p>
    <w:p>
      <w:pPr>
        <w:ind w:left="700" w:right="220" w:firstLine="393"/>
        <w:spacing w:after="0" w:line="284" w:lineRule="auto"/>
        <w:rPr>
          <w:sz w:val="20"/>
          <w:szCs w:val="20"/>
          <w:color w:val="auto"/>
        </w:rPr>
      </w:pPr>
      <w:r>
        <w:rPr>
          <w:rFonts w:ascii="Times New Roman" w:cs="Times New Roman" w:eastAsia="Times New Roman" w:hAnsi="Times New Roman"/>
          <w:sz w:val="16"/>
          <w:szCs w:val="16"/>
          <w:color w:val="auto"/>
        </w:rPr>
        <w:t>In June 2019, the Company adopted a Global Share Incentive Plan (the “Global Plan”), which includes Option Plan, Restricted Shares Plan and Shares Award.</w:t>
      </w:r>
    </w:p>
    <w:p>
      <w:pPr>
        <w:spacing w:after="0" w:line="23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Option Plan</w:t>
      </w:r>
    </w:p>
    <w:p>
      <w:pPr>
        <w:spacing w:after="0" w:line="107" w:lineRule="exact"/>
        <w:rPr>
          <w:sz w:val="20"/>
          <w:szCs w:val="20"/>
          <w:color w:val="auto"/>
        </w:rPr>
      </w:pPr>
    </w:p>
    <w:p>
      <w:pPr>
        <w:ind w:left="700" w:firstLine="393"/>
        <w:spacing w:after="0" w:line="256" w:lineRule="auto"/>
        <w:rPr>
          <w:sz w:val="20"/>
          <w:szCs w:val="20"/>
          <w:color w:val="auto"/>
        </w:rPr>
      </w:pPr>
      <w:r>
        <w:rPr>
          <w:rFonts w:ascii="Times New Roman" w:cs="Times New Roman" w:eastAsia="Times New Roman" w:hAnsi="Times New Roman"/>
          <w:sz w:val="16"/>
          <w:szCs w:val="16"/>
          <w:color w:val="auto"/>
        </w:rPr>
        <w:t>Under the Option Award Agreement, options which granted to employees vest upon satisfaction of a service condition, which is generally satisfied over four years. Additionally, the Option Grant includes a condition where employees can only exercise vested options upon the occurrence of that the Company’s common shares become listed securities, which substantially creates a performance condition (“IPO Condition”). Meanwhile, the Company offers their employees broker-assisted cashless exercise programs to help the employees exercise their stock options without having to use their personal funds to pay for the exercise price. The options are classified as liability-classified award. As of December 31, 2019, the Company granted 19,463,440 share options to certain of its employees. The Company finished its initial public offering in February 2020, the share-based compensation cost was recognized accordingly.</w:t>
      </w:r>
    </w:p>
    <w:p>
      <w:pPr>
        <w:spacing w:after="0" w:line="169" w:lineRule="exact"/>
        <w:rPr>
          <w:sz w:val="20"/>
          <w:szCs w:val="20"/>
          <w:color w:val="auto"/>
        </w:rPr>
      </w:pPr>
    </w:p>
    <w:p>
      <w:pPr>
        <w:ind w:left="700" w:right="260" w:firstLine="393"/>
        <w:spacing w:after="0" w:line="284" w:lineRule="auto"/>
        <w:rPr>
          <w:sz w:val="20"/>
          <w:szCs w:val="20"/>
          <w:color w:val="auto"/>
        </w:rPr>
      </w:pPr>
      <w:r>
        <w:rPr>
          <w:rFonts w:ascii="Times New Roman" w:cs="Times New Roman" w:eastAsia="Times New Roman" w:hAnsi="Times New Roman"/>
          <w:sz w:val="16"/>
          <w:szCs w:val="16"/>
          <w:color w:val="auto"/>
        </w:rPr>
        <w:t>During the years ended 2021, the Company granted 21,631,945 share options to employees pursuant to the Global Plan. No share options were granted during the year ended 2022.</w:t>
      </w:r>
    </w:p>
    <w:p>
      <w:pPr>
        <w:spacing w:after="0" w:line="1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following table summarized the Company’s activities under the Option Plan for the years ended December 31, 2020, 2021 and 2022:</w:t>
      </w: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3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3"/>
                <w:szCs w:val="13"/>
                <w:color w:val="auto"/>
                <w:w w:val="95"/>
              </w:rPr>
              <w:t>Number of options</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Weighted average</w:t>
            </w: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5"/>
              </w:rPr>
              <w:t xml:space="preserve">exercise price </w:t>
            </w:r>
            <w:r>
              <w:rPr>
                <w:rFonts w:ascii="Times New Roman" w:cs="Times New Roman" w:eastAsia="Times New Roman" w:hAnsi="Times New Roman"/>
                <w:sz w:val="13"/>
                <w:szCs w:val="13"/>
                <w:u w:val="single" w:color="auto"/>
                <w:color w:val="auto"/>
                <w:w w:val="95"/>
              </w:rPr>
              <w:t>(US$</w:t>
            </w:r>
            <w:r>
              <w:rPr>
                <w:rFonts w:ascii="Times New Roman" w:cs="Times New Roman" w:eastAsia="Times New Roman" w:hAnsi="Times New Roman"/>
                <w:sz w:val="13"/>
                <w:szCs w:val="13"/>
                <w:color w:val="auto"/>
                <w:w w:val="95"/>
              </w:rPr>
              <w:t>)</w:t>
            </w:r>
          </w:p>
        </w:tc>
        <w:tc>
          <w:tcPr>
            <w:tcW w:w="0" w:type="dxa"/>
            <w:vAlign w:val="bottom"/>
          </w:tcPr>
          <w:p>
            <w:pPr>
              <w:spacing w:after="0"/>
              <w:rPr>
                <w:sz w:val="1"/>
                <w:szCs w:val="1"/>
                <w:color w:val="auto"/>
              </w:rPr>
            </w:pPr>
          </w:p>
        </w:tc>
      </w:tr>
      <w:tr>
        <w:trPr>
          <w:trHeight w:val="185"/>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January 1, 2020</w:t>
            </w:r>
          </w:p>
        </w:tc>
        <w:tc>
          <w:tcPr>
            <w:tcW w:w="15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19,463,440</w:t>
            </w:r>
          </w:p>
        </w:tc>
        <w:tc>
          <w:tcPr>
            <w:tcW w:w="6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0.1607</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540" w:type="dxa"/>
            <w:vAlign w:val="bottom"/>
          </w:tcPr>
          <w:p>
            <w:pPr>
              <w:spacing w:after="0"/>
              <w:rPr>
                <w:sz w:val="16"/>
                <w:szCs w:val="16"/>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31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(707,396)</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0.1607</w:t>
            </w:r>
          </w:p>
        </w:tc>
        <w:tc>
          <w:tcPr>
            <w:tcW w:w="0" w:type="dxa"/>
            <w:vAlign w:val="bottom"/>
          </w:tcPr>
          <w:p>
            <w:pPr>
              <w:spacing w:after="0"/>
              <w:rPr>
                <w:sz w:val="1"/>
                <w:szCs w:val="1"/>
                <w:color w:val="auto"/>
              </w:rPr>
            </w:pPr>
          </w:p>
        </w:tc>
      </w:tr>
      <w:tr>
        <w:trPr>
          <w:trHeight w:val="193"/>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312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(2,601,993)</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0.1607</w:t>
            </w:r>
          </w:p>
        </w:tc>
        <w:tc>
          <w:tcPr>
            <w:tcW w:w="0" w:type="dxa"/>
            <w:vAlign w:val="bottom"/>
          </w:tcPr>
          <w:p>
            <w:pPr>
              <w:spacing w:after="0"/>
              <w:rPr>
                <w:sz w:val="1"/>
                <w:szCs w:val="1"/>
                <w:color w:val="auto"/>
              </w:rPr>
            </w:pPr>
          </w:p>
        </w:tc>
      </w:tr>
      <w:tr>
        <w:trPr>
          <w:trHeight w:val="19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2020</w:t>
            </w:r>
          </w:p>
        </w:tc>
        <w:tc>
          <w:tcPr>
            <w:tcW w:w="31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16,154,051</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0.1607</w:t>
            </w:r>
          </w:p>
        </w:tc>
        <w:tc>
          <w:tcPr>
            <w:tcW w:w="0" w:type="dxa"/>
            <w:vAlign w:val="bottom"/>
          </w:tcPr>
          <w:p>
            <w:pPr>
              <w:spacing w:after="0"/>
              <w:rPr>
                <w:sz w:val="1"/>
                <w:szCs w:val="1"/>
                <w:color w:val="auto"/>
              </w:rPr>
            </w:pPr>
          </w:p>
        </w:tc>
      </w:tr>
      <w:tr>
        <w:trPr>
          <w:trHeight w:val="197"/>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exercisable at December 31, 2020</w:t>
            </w:r>
          </w:p>
        </w:tc>
        <w:tc>
          <w:tcPr>
            <w:tcW w:w="15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5,004,126</w:t>
            </w:r>
          </w:p>
        </w:tc>
        <w:tc>
          <w:tcPr>
            <w:tcW w:w="6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Outstanding at January 1, 2021</w:t>
            </w:r>
          </w:p>
        </w:tc>
        <w:tc>
          <w:tcPr>
            <w:tcW w:w="3120" w:type="dxa"/>
            <w:vAlign w:val="bottom"/>
            <w:gridSpan w:val="3"/>
            <w:shd w:val="clear" w:color="auto" w:fill="CCEEFF"/>
          </w:tcPr>
          <w:p>
            <w:pPr>
              <w:jc w:val="right"/>
              <w:ind w:right="620"/>
              <w:spacing w:after="0" w:line="181" w:lineRule="exact"/>
              <w:rPr>
                <w:sz w:val="20"/>
                <w:szCs w:val="20"/>
                <w:color w:val="auto"/>
              </w:rPr>
            </w:pPr>
            <w:r>
              <w:rPr>
                <w:rFonts w:ascii="Times New Roman" w:cs="Times New Roman" w:eastAsia="Times New Roman" w:hAnsi="Times New Roman"/>
                <w:sz w:val="16"/>
                <w:szCs w:val="16"/>
                <w:color w:val="auto"/>
              </w:rPr>
              <w:t>16,154,051</w:t>
            </w:r>
          </w:p>
        </w:tc>
        <w:tc>
          <w:tcPr>
            <w:tcW w:w="1100" w:type="dxa"/>
            <w:vAlign w:val="bottom"/>
            <w:gridSpan w:val="2"/>
            <w:shd w:val="clear" w:color="auto" w:fill="CCEEFF"/>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0.1607</w:t>
            </w:r>
          </w:p>
        </w:tc>
        <w:tc>
          <w:tcPr>
            <w:tcW w:w="0" w:type="dxa"/>
            <w:vAlign w:val="bottom"/>
          </w:tcPr>
          <w:p>
            <w:pPr>
              <w:spacing w:after="0"/>
              <w:rPr>
                <w:sz w:val="1"/>
                <w:szCs w:val="1"/>
                <w:color w:val="auto"/>
              </w:rPr>
            </w:pPr>
          </w:p>
        </w:tc>
      </w:tr>
      <w:tr>
        <w:trPr>
          <w:trHeight w:val="193"/>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312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21,631,945</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0.1609</w:t>
            </w:r>
          </w:p>
        </w:tc>
        <w:tc>
          <w:tcPr>
            <w:tcW w:w="0" w:type="dxa"/>
            <w:vAlign w:val="bottom"/>
          </w:tcPr>
          <w:p>
            <w:pPr>
              <w:spacing w:after="0"/>
              <w:rPr>
                <w:sz w:val="1"/>
                <w:szCs w:val="1"/>
                <w:color w:val="auto"/>
              </w:rPr>
            </w:pPr>
          </w:p>
        </w:tc>
      </w:tr>
      <w:tr>
        <w:trPr>
          <w:trHeight w:val="19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31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(201,040)</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0.1607</w:t>
            </w:r>
          </w:p>
        </w:tc>
        <w:tc>
          <w:tcPr>
            <w:tcW w:w="0" w:type="dxa"/>
            <w:vAlign w:val="bottom"/>
          </w:tcPr>
          <w:p>
            <w:pPr>
              <w:spacing w:after="0"/>
              <w:rPr>
                <w:sz w:val="1"/>
                <w:szCs w:val="1"/>
                <w:color w:val="auto"/>
              </w:rPr>
            </w:pPr>
          </w:p>
        </w:tc>
      </w:tr>
      <w:tr>
        <w:trPr>
          <w:trHeight w:val="193"/>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312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(740,231)</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0.1607</w:t>
            </w:r>
          </w:p>
        </w:tc>
        <w:tc>
          <w:tcPr>
            <w:tcW w:w="0" w:type="dxa"/>
            <w:vAlign w:val="bottom"/>
          </w:tcPr>
          <w:p>
            <w:pPr>
              <w:spacing w:after="0"/>
              <w:rPr>
                <w:sz w:val="1"/>
                <w:szCs w:val="1"/>
                <w:color w:val="auto"/>
              </w:rPr>
            </w:pPr>
          </w:p>
        </w:tc>
      </w:tr>
      <w:tr>
        <w:trPr>
          <w:trHeight w:val="19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31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36,844,725</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0.1608</w:t>
            </w:r>
          </w:p>
        </w:tc>
        <w:tc>
          <w:tcPr>
            <w:tcW w:w="0" w:type="dxa"/>
            <w:vAlign w:val="bottom"/>
          </w:tcPr>
          <w:p>
            <w:pPr>
              <w:spacing w:after="0"/>
              <w:rPr>
                <w:sz w:val="1"/>
                <w:szCs w:val="1"/>
                <w:color w:val="auto"/>
              </w:rPr>
            </w:pPr>
          </w:p>
        </w:tc>
      </w:tr>
      <w:tr>
        <w:trPr>
          <w:trHeight w:val="197"/>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exercisable at December 31, 2021</w:t>
            </w:r>
          </w:p>
        </w:tc>
        <w:tc>
          <w:tcPr>
            <w:tcW w:w="15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11,884,664</w:t>
            </w:r>
          </w:p>
        </w:tc>
        <w:tc>
          <w:tcPr>
            <w:tcW w:w="6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Outstanding at January 1, 2022</w:t>
            </w:r>
          </w:p>
        </w:tc>
        <w:tc>
          <w:tcPr>
            <w:tcW w:w="3120" w:type="dxa"/>
            <w:vAlign w:val="bottom"/>
            <w:gridSpan w:val="3"/>
            <w:shd w:val="clear" w:color="auto" w:fill="CCEEFF"/>
          </w:tcPr>
          <w:p>
            <w:pPr>
              <w:jc w:val="right"/>
              <w:ind w:right="620"/>
              <w:spacing w:after="0" w:line="181" w:lineRule="exact"/>
              <w:rPr>
                <w:sz w:val="20"/>
                <w:szCs w:val="20"/>
                <w:color w:val="auto"/>
              </w:rPr>
            </w:pPr>
            <w:r>
              <w:rPr>
                <w:rFonts w:ascii="Times New Roman" w:cs="Times New Roman" w:eastAsia="Times New Roman" w:hAnsi="Times New Roman"/>
                <w:sz w:val="16"/>
                <w:szCs w:val="16"/>
                <w:color w:val="auto"/>
              </w:rPr>
              <w:t>36,844,725</w:t>
            </w:r>
          </w:p>
        </w:tc>
        <w:tc>
          <w:tcPr>
            <w:tcW w:w="1100" w:type="dxa"/>
            <w:vAlign w:val="bottom"/>
            <w:gridSpan w:val="2"/>
            <w:shd w:val="clear" w:color="auto" w:fill="CCEEFF"/>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0.1608</w:t>
            </w:r>
          </w:p>
        </w:tc>
        <w:tc>
          <w:tcPr>
            <w:tcW w:w="0" w:type="dxa"/>
            <w:vAlign w:val="bottom"/>
          </w:tcPr>
          <w:p>
            <w:pPr>
              <w:spacing w:after="0"/>
              <w:rPr>
                <w:sz w:val="1"/>
                <w:szCs w:val="1"/>
                <w:color w:val="auto"/>
              </w:rPr>
            </w:pPr>
          </w:p>
        </w:tc>
      </w:tr>
      <w:tr>
        <w:trPr>
          <w:trHeight w:val="193"/>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540" w:type="dxa"/>
            <w:vAlign w:val="bottom"/>
          </w:tcPr>
          <w:p>
            <w:pPr>
              <w:spacing w:after="0"/>
              <w:rPr>
                <w:sz w:val="16"/>
                <w:szCs w:val="16"/>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5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312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(3,020,669)</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0.1515</w:t>
            </w:r>
          </w:p>
        </w:tc>
        <w:tc>
          <w:tcPr>
            <w:tcW w:w="0" w:type="dxa"/>
            <w:vAlign w:val="bottom"/>
          </w:tcPr>
          <w:p>
            <w:pPr>
              <w:spacing w:after="0"/>
              <w:rPr>
                <w:sz w:val="1"/>
                <w:szCs w:val="1"/>
                <w:color w:val="auto"/>
              </w:rPr>
            </w:pPr>
          </w:p>
        </w:tc>
      </w:tr>
      <w:tr>
        <w:trPr>
          <w:trHeight w:val="19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31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33,824,056</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0.1616</w:t>
            </w:r>
          </w:p>
        </w:tc>
        <w:tc>
          <w:tcPr>
            <w:tcW w:w="0" w:type="dxa"/>
            <w:vAlign w:val="bottom"/>
          </w:tcPr>
          <w:p>
            <w:pPr>
              <w:spacing w:after="0"/>
              <w:rPr>
                <w:sz w:val="1"/>
                <w:szCs w:val="1"/>
                <w:color w:val="auto"/>
              </w:rPr>
            </w:pPr>
          </w:p>
        </w:tc>
      </w:tr>
      <w:tr>
        <w:trPr>
          <w:trHeight w:val="197"/>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exercisable at December 31, 2022</w:t>
            </w:r>
          </w:p>
        </w:tc>
        <w:tc>
          <w:tcPr>
            <w:tcW w:w="15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24,166,379</w:t>
            </w:r>
          </w:p>
        </w:tc>
        <w:tc>
          <w:tcPr>
            <w:tcW w:w="6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260" w:type="dxa"/>
            <w:vAlign w:val="bottom"/>
          </w:tcPr>
          <w:p>
            <w:pPr>
              <w:spacing w:after="0"/>
              <w:rPr>
                <w:sz w:val="24"/>
                <w:szCs w:val="24"/>
                <w:color w:val="auto"/>
              </w:rPr>
            </w:pPr>
          </w:p>
        </w:tc>
        <w:tc>
          <w:tcPr>
            <w:tcW w:w="3120" w:type="dxa"/>
            <w:vAlign w:val="bottom"/>
            <w:gridSpan w:val="3"/>
          </w:tcPr>
          <w:p>
            <w:pPr>
              <w:jc w:val="right"/>
              <w:ind w:right="2480"/>
              <w:spacing w:after="0"/>
              <w:rPr>
                <w:sz w:val="20"/>
                <w:szCs w:val="20"/>
                <w:color w:val="auto"/>
              </w:rPr>
            </w:pPr>
            <w:r>
              <w:rPr>
                <w:rFonts w:ascii="Times New Roman" w:cs="Times New Roman" w:eastAsia="Times New Roman" w:hAnsi="Times New Roman"/>
                <w:sz w:val="16"/>
                <w:szCs w:val="16"/>
                <w:color w:val="auto"/>
              </w:rPr>
              <w:t>F-56</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320" w:top="447" w:right="10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1100" w:right="6940" w:hanging="393"/>
        <w:spacing w:after="0" w:line="412" w:lineRule="auto"/>
        <w:tabs>
          <w:tab w:leader="none" w:pos="948" w:val="left"/>
        </w:tabs>
        <w:numPr>
          <w:ilvl w:val="0"/>
          <w:numId w:val="1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Share-based compensation (continued) </w:t>
      </w:r>
      <w:r>
        <w:rPr>
          <w:rFonts w:ascii="Times New Roman" w:cs="Times New Roman" w:eastAsia="Times New Roman" w:hAnsi="Times New Roman"/>
          <w:sz w:val="16"/>
          <w:szCs w:val="16"/>
          <w:i w:val="1"/>
          <w:iCs w:val="1"/>
          <w:color w:val="auto"/>
        </w:rPr>
        <w:t>Option Plan (Continued)</w:t>
      </w:r>
    </w:p>
    <w:p>
      <w:pPr>
        <w:spacing w:after="0" w:line="8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following table summarizes information regarding the share options outstanding as of December 31, 2022:</w:t>
      </w:r>
    </w:p>
    <w:p>
      <w:pPr>
        <w:spacing w:after="0" w:line="222" w:lineRule="exact"/>
        <w:rPr>
          <w:sz w:val="20"/>
          <w:szCs w:val="20"/>
          <w:color w:val="auto"/>
        </w:rPr>
      </w:pPr>
    </w:p>
    <w:tbl>
      <w:tblPr>
        <w:tblLayout w:type="fixed"/>
        <w:tblInd w:w="1100" w:type="dxa"/>
        <w:tblCellMar>
          <w:top w:w="0" w:type="dxa"/>
          <w:left w:w="0" w:type="dxa"/>
          <w:bottom w:w="0" w:type="dxa"/>
          <w:right w:w="0" w:type="dxa"/>
        </w:tblCellMar>
      </w:tblPr>
      <w:tr>
        <w:trPr>
          <w:trHeight w:val="153"/>
        </w:trPr>
        <w:tc>
          <w:tcPr>
            <w:tcW w:w="41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jc w:val="right"/>
              <w:ind w:right="1020"/>
              <w:spacing w:after="0"/>
              <w:rPr>
                <w:sz w:val="20"/>
                <w:szCs w:val="20"/>
                <w:color w:val="auto"/>
              </w:rPr>
            </w:pPr>
            <w:r>
              <w:rPr>
                <w:rFonts w:ascii="Times New Roman" w:cs="Times New Roman" w:eastAsia="Times New Roman" w:hAnsi="Times New Roman"/>
                <w:sz w:val="13"/>
                <w:szCs w:val="13"/>
                <w:color w:val="auto"/>
              </w:rPr>
              <w:t>As of December 31, 2022</w:t>
            </w:r>
          </w:p>
        </w:tc>
        <w:tc>
          <w:tcPr>
            <w:tcW w:w="7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4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auto"/>
              </w:rPr>
              <w:t>Weighted</w:t>
            </w:r>
          </w:p>
        </w:tc>
        <w:tc>
          <w:tcPr>
            <w:tcW w:w="1400" w:type="dxa"/>
            <w:vAlign w:val="bottom"/>
            <w:gridSpan w:val="2"/>
          </w:tcPr>
          <w:p>
            <w:pPr>
              <w:jc w:val="right"/>
              <w:ind w:right="480"/>
              <w:spacing w:after="0" w:line="105" w:lineRule="exact"/>
              <w:rPr>
                <w:sz w:val="20"/>
                <w:szCs w:val="20"/>
                <w:color w:val="auto"/>
              </w:rPr>
            </w:pPr>
            <w:r>
              <w:rPr>
                <w:rFonts w:ascii="Times New Roman" w:cs="Times New Roman" w:eastAsia="Times New Roman" w:hAnsi="Times New Roman"/>
                <w:sz w:val="12"/>
                <w:szCs w:val="12"/>
                <w:color w:val="auto"/>
              </w:rPr>
              <w:t>Weighted average</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13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3"/>
                <w:szCs w:val="13"/>
                <w:color w:val="auto"/>
              </w:rPr>
              <w:t>Options</w:t>
            </w:r>
          </w:p>
        </w:tc>
        <w:tc>
          <w:tcPr>
            <w:tcW w:w="1380" w:type="dxa"/>
            <w:vAlign w:val="bottom"/>
            <w:gridSpan w:val="2"/>
            <w:vMerge w:val="continue"/>
          </w:tcPr>
          <w:p>
            <w:pPr>
              <w:spacing w:after="0"/>
              <w:rPr>
                <w:sz w:val="11"/>
                <w:szCs w:val="11"/>
                <w:color w:val="auto"/>
              </w:rPr>
            </w:pPr>
          </w:p>
        </w:tc>
        <w:tc>
          <w:tcPr>
            <w:tcW w:w="1400" w:type="dxa"/>
            <w:vAlign w:val="bottom"/>
            <w:gridSpan w:val="2"/>
          </w:tcPr>
          <w:p>
            <w:pPr>
              <w:jc w:val="center"/>
              <w:ind w:right="480"/>
              <w:spacing w:after="0" w:line="133" w:lineRule="exact"/>
              <w:rPr>
                <w:sz w:val="20"/>
                <w:szCs w:val="20"/>
                <w:color w:val="auto"/>
              </w:rPr>
            </w:pPr>
            <w:r>
              <w:rPr>
                <w:rFonts w:ascii="Times New Roman" w:cs="Times New Roman" w:eastAsia="Times New Roman" w:hAnsi="Times New Roman"/>
                <w:sz w:val="13"/>
                <w:szCs w:val="13"/>
                <w:color w:val="auto"/>
                <w:w w:val="98"/>
              </w:rPr>
              <w:t>remaining</w:t>
            </w: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color w:val="auto"/>
                <w:w w:val="99"/>
              </w:rPr>
              <w:t>Aggregate</w:t>
            </w: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380" w:type="dxa"/>
            <w:vAlign w:val="bottom"/>
            <w:gridSpan w:val="2"/>
          </w:tcPr>
          <w:p>
            <w:pPr>
              <w:jc w:val="right"/>
              <w:ind w:right="540"/>
              <w:spacing w:after="0" w:line="133" w:lineRule="exact"/>
              <w:rPr>
                <w:sz w:val="20"/>
                <w:szCs w:val="20"/>
                <w:color w:val="auto"/>
              </w:rPr>
            </w:pPr>
            <w:r>
              <w:rPr>
                <w:rFonts w:ascii="Times New Roman" w:cs="Times New Roman" w:eastAsia="Times New Roman" w:hAnsi="Times New Roman"/>
                <w:sz w:val="13"/>
                <w:szCs w:val="13"/>
                <w:color w:val="auto"/>
                <w:w w:val="95"/>
              </w:rPr>
              <w:t>average exercise</w:t>
            </w:r>
          </w:p>
        </w:tc>
        <w:tc>
          <w:tcPr>
            <w:tcW w:w="1400" w:type="dxa"/>
            <w:vAlign w:val="bottom"/>
            <w:gridSpan w:val="2"/>
          </w:tcPr>
          <w:p>
            <w:pPr>
              <w:jc w:val="center"/>
              <w:ind w:right="460"/>
              <w:spacing w:after="0" w:line="133" w:lineRule="exact"/>
              <w:rPr>
                <w:sz w:val="20"/>
                <w:szCs w:val="20"/>
                <w:color w:val="auto"/>
              </w:rPr>
            </w:pPr>
            <w:r>
              <w:rPr>
                <w:rFonts w:ascii="Times New Roman" w:cs="Times New Roman" w:eastAsia="Times New Roman" w:hAnsi="Times New Roman"/>
                <w:sz w:val="13"/>
                <w:szCs w:val="13"/>
                <w:color w:val="auto"/>
                <w:w w:val="99"/>
              </w:rPr>
              <w:t>contractual life</w:t>
            </w: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80" w:type="dxa"/>
            <w:vAlign w:val="bottom"/>
          </w:tcPr>
          <w:p>
            <w:pPr>
              <w:spacing w:after="0"/>
              <w:rPr>
                <w:sz w:val="13"/>
                <w:szCs w:val="13"/>
                <w:color w:val="auto"/>
              </w:rPr>
            </w:pP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color w:val="auto"/>
              </w:rPr>
              <w:t>number</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w w:val="99"/>
              </w:rPr>
              <w:t>price per option</w:t>
            </w: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color w:val="auto"/>
                <w:w w:val="99"/>
              </w:rPr>
              <w:t>(years)</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9"/>
              </w:rPr>
              <w:t>intrinsic value</w:t>
            </w:r>
          </w:p>
        </w:tc>
        <w:tc>
          <w:tcPr>
            <w:tcW w:w="0" w:type="dxa"/>
            <w:vAlign w:val="bottom"/>
          </w:tcPr>
          <w:p>
            <w:pPr>
              <w:spacing w:after="0"/>
              <w:rPr>
                <w:sz w:val="1"/>
                <w:szCs w:val="1"/>
                <w:color w:val="auto"/>
              </w:rPr>
            </w:pPr>
          </w:p>
        </w:tc>
      </w:tr>
      <w:tr>
        <w:trPr>
          <w:trHeight w:val="125"/>
        </w:trPr>
        <w:tc>
          <w:tcPr>
            <w:tcW w:w="41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Borders>
              <w:top w:val="single" w:sz="8" w:color="auto"/>
            </w:tcBorders>
          </w:tcPr>
          <w:p>
            <w:pPr>
              <w:jc w:val="right"/>
              <w:ind w:right="250"/>
              <w:spacing w:after="0" w:line="125" w:lineRule="exact"/>
              <w:rPr>
                <w:sz w:val="20"/>
                <w:szCs w:val="20"/>
                <w:color w:val="auto"/>
              </w:rPr>
            </w:pPr>
            <w:r>
              <w:rPr>
                <w:rFonts w:ascii="Times New Roman" w:cs="Times New Roman" w:eastAsia="Times New Roman" w:hAnsi="Times New Roman"/>
                <w:sz w:val="13"/>
                <w:szCs w:val="13"/>
                <w:color w:val="auto"/>
              </w:rPr>
              <w:t>US$</w:t>
            </w:r>
          </w:p>
        </w:tc>
        <w:tc>
          <w:tcPr>
            <w:tcW w:w="5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4"/>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33,824,056</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0.1616</w:t>
            </w: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7.67</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Exercisable</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24,166,379</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0.1640</w:t>
            </w: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7.52</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to vest</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9,657,677</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0.1556</w:t>
            </w: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8.03</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weighted average fair value of the options was US$ 0.0127 and US$ 0.0192 per option as of December 31, 2021 and 2022, respectively.</w:t>
      </w:r>
    </w:p>
    <w:p>
      <w:pPr>
        <w:spacing w:after="0" w:line="202" w:lineRule="exact"/>
        <w:rPr>
          <w:sz w:val="20"/>
          <w:szCs w:val="20"/>
          <w:color w:val="auto"/>
        </w:rPr>
      </w:pPr>
    </w:p>
    <w:p>
      <w:pPr>
        <w:ind w:left="700" w:right="140" w:firstLine="393"/>
        <w:spacing w:after="0" w:line="284" w:lineRule="auto"/>
        <w:rPr>
          <w:sz w:val="20"/>
          <w:szCs w:val="20"/>
          <w:color w:val="auto"/>
        </w:rPr>
      </w:pPr>
      <w:r>
        <w:rPr>
          <w:rFonts w:ascii="Times New Roman" w:cs="Times New Roman" w:eastAsia="Times New Roman" w:hAnsi="Times New Roman"/>
          <w:sz w:val="16"/>
          <w:szCs w:val="16"/>
          <w:color w:val="auto"/>
        </w:rPr>
        <w:t>The aggregate intrinsic value is calculated as the difference between the exercise price of the options and the fair value of the underlying stock at December 31, 2022.</w:t>
      </w:r>
    </w:p>
    <w:p>
      <w:pPr>
        <w:spacing w:after="0" w:line="143" w:lineRule="exact"/>
        <w:rPr>
          <w:sz w:val="20"/>
          <w:szCs w:val="20"/>
          <w:color w:val="auto"/>
        </w:rPr>
      </w:pPr>
    </w:p>
    <w:p>
      <w:pPr>
        <w:ind w:left="700" w:right="760" w:firstLine="393"/>
        <w:spacing w:after="0" w:line="284" w:lineRule="auto"/>
        <w:rPr>
          <w:sz w:val="20"/>
          <w:szCs w:val="20"/>
          <w:color w:val="auto"/>
        </w:rPr>
      </w:pPr>
      <w:r>
        <w:rPr>
          <w:rFonts w:ascii="Times New Roman" w:cs="Times New Roman" w:eastAsia="Times New Roman" w:hAnsi="Times New Roman"/>
          <w:sz w:val="16"/>
          <w:szCs w:val="16"/>
          <w:color w:val="auto"/>
        </w:rPr>
        <w:t>The fair value of the option plan was estimated on the date of each balance sheet date using the binomial option pricing model with the assumptions (or ranges thereof) in the following table:</w:t>
      </w:r>
    </w:p>
    <w:p>
      <w:pPr>
        <w:spacing w:after="0" w:line="164"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5980" w:type="dxa"/>
            <w:vAlign w:val="bottom"/>
          </w:tcPr>
          <w:p>
            <w:pPr>
              <w:spacing w:after="0"/>
              <w:rPr>
                <w:sz w:val="13"/>
                <w:szCs w:val="13"/>
                <w:color w:val="auto"/>
              </w:rPr>
            </w:pPr>
          </w:p>
        </w:tc>
        <w:tc>
          <w:tcPr>
            <w:tcW w:w="1500" w:type="dxa"/>
            <w:vAlign w:val="bottom"/>
            <w:gridSpan w:val="4"/>
          </w:tcPr>
          <w:p>
            <w:pPr>
              <w:jc w:val="right"/>
              <w:ind w:right="380"/>
              <w:spacing w:after="0"/>
              <w:rPr>
                <w:sz w:val="20"/>
                <w:szCs w:val="20"/>
                <w:color w:val="auto"/>
              </w:rPr>
            </w:pPr>
            <w:r>
              <w:rPr>
                <w:rFonts w:ascii="Times New Roman" w:cs="Times New Roman" w:eastAsia="Times New Roman" w:hAnsi="Times New Roman"/>
                <w:sz w:val="13"/>
                <w:szCs w:val="13"/>
                <w:color w:val="auto"/>
              </w:rPr>
              <w:t>Weighted average</w:t>
            </w:r>
          </w:p>
        </w:tc>
      </w:tr>
      <w:tr>
        <w:trPr>
          <w:trHeight w:val="125"/>
        </w:trPr>
        <w:tc>
          <w:tcPr>
            <w:tcW w:w="5980" w:type="dxa"/>
            <w:vAlign w:val="bottom"/>
            <w:tcBorders>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44"/>
              <w:spacing w:after="0" w:line="125" w:lineRule="exact"/>
              <w:rPr>
                <w:sz w:val="20"/>
                <w:szCs w:val="20"/>
                <w:color w:val="auto"/>
              </w:rPr>
            </w:pPr>
            <w:r>
              <w:rPr>
                <w:rFonts w:ascii="Times New Roman" w:cs="Times New Roman" w:eastAsia="Times New Roman" w:hAnsi="Times New Roman"/>
                <w:sz w:val="13"/>
                <w:szCs w:val="13"/>
                <w:color w:val="auto"/>
              </w:rPr>
              <w:t>2021</w:t>
            </w:r>
          </w:p>
        </w:tc>
        <w:tc>
          <w:tcPr>
            <w:tcW w:w="32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42"/>
              <w:spacing w:after="0" w:line="125" w:lineRule="exact"/>
              <w:rPr>
                <w:sz w:val="20"/>
                <w:szCs w:val="20"/>
                <w:color w:val="auto"/>
              </w:rPr>
            </w:pPr>
            <w:r>
              <w:rPr>
                <w:rFonts w:ascii="Times New Roman" w:cs="Times New Roman" w:eastAsia="Times New Roman" w:hAnsi="Times New Roman"/>
                <w:sz w:val="13"/>
                <w:szCs w:val="13"/>
                <w:color w:val="auto"/>
              </w:rPr>
              <w:t>2022</w:t>
            </w:r>
          </w:p>
        </w:tc>
        <w:tc>
          <w:tcPr>
            <w:tcW w:w="180" w:type="dxa"/>
            <w:vAlign w:val="bottom"/>
            <w:tcBorders>
              <w:bottom w:val="single" w:sz="8" w:color="CCEEFF"/>
            </w:tcBorders>
          </w:tcPr>
          <w:p>
            <w:pPr>
              <w:spacing w:after="0"/>
              <w:rPr>
                <w:sz w:val="10"/>
                <w:szCs w:val="10"/>
                <w:color w:val="auto"/>
              </w:rPr>
            </w:pPr>
          </w:p>
        </w:tc>
      </w:tr>
      <w:tr>
        <w:trPr>
          <w:trHeight w:val="18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price (US$)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0.1608</w:t>
            </w: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0.1616</w:t>
            </w:r>
          </w:p>
        </w:tc>
        <w:tc>
          <w:tcPr>
            <w:tcW w:w="180" w:type="dxa"/>
            <w:vAlign w:val="bottom"/>
            <w:shd w:val="clear" w:color="auto" w:fill="CCEEFF"/>
          </w:tcPr>
          <w:p>
            <w:pPr>
              <w:spacing w:after="0"/>
              <w:rPr>
                <w:sz w:val="16"/>
                <w:szCs w:val="16"/>
                <w:color w:val="auto"/>
              </w:rPr>
            </w:pPr>
          </w:p>
        </w:tc>
      </w:tr>
      <w:tr>
        <w:trPr>
          <w:trHeight w:val="19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Expected forfeiture rate (post-vesting)</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10.85%</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5.86%</w:t>
            </w:r>
          </w:p>
        </w:tc>
      </w:tr>
      <w:tr>
        <w:trPr>
          <w:trHeight w:val="19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40.57%</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51.70%</w:t>
            </w:r>
          </w:p>
        </w:tc>
      </w:tr>
      <w:tr>
        <w:trPr>
          <w:trHeight w:val="19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Excepted term (in years)</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8.71</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7.67</w:t>
            </w:r>
          </w:p>
        </w:tc>
      </w:tr>
      <w:tr>
        <w:trPr>
          <w:trHeight w:val="19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1.4658%</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3.9302%</w:t>
            </w:r>
          </w:p>
        </w:tc>
      </w:tr>
    </w:tbl>
    <w:p>
      <w:pPr>
        <w:spacing w:after="0" w:line="160"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Risk-free interest rate is estimated based on the yield curve of US Treasury BVAL Curve from Bloomberg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Group does not anticipate any dividend payments in the foreseeable future. Expected term is the contract life of the options.</w:t>
      </w:r>
    </w:p>
    <w:p>
      <w:pPr>
        <w:spacing w:after="0" w:line="25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Employees Restricted Shares Plan</w:t>
      </w:r>
    </w:p>
    <w:p>
      <w:pPr>
        <w:spacing w:after="0" w:line="107" w:lineRule="exact"/>
        <w:rPr>
          <w:sz w:val="20"/>
          <w:szCs w:val="20"/>
          <w:color w:val="auto"/>
        </w:rPr>
      </w:pPr>
    </w:p>
    <w:p>
      <w:pPr>
        <w:ind w:left="700" w:right="260" w:firstLine="393"/>
        <w:spacing w:after="0" w:line="259" w:lineRule="auto"/>
        <w:rPr>
          <w:sz w:val="20"/>
          <w:szCs w:val="20"/>
          <w:color w:val="auto"/>
        </w:rPr>
      </w:pPr>
      <w:r>
        <w:rPr>
          <w:rFonts w:ascii="Times New Roman" w:cs="Times New Roman" w:eastAsia="Times New Roman" w:hAnsi="Times New Roman"/>
          <w:sz w:val="16"/>
          <w:szCs w:val="16"/>
          <w:color w:val="auto"/>
        </w:rPr>
        <w:t>Under the Employees Restricted Shares Award Agreement, restricted shares which granted to employees vest upon satisfaction of a service condition and a performance condition, which is generally satisfied over four years. The restriction will be removed along with the satisfaction of the service condition. As of December 31, 2020, the Company granted 23,809,190 restricted common shares to certain senior management through Bodyguard Holding Limited (“Bodyguard”) as a holding platform. In March 2021, the Company granted additional 320,000 restricted shares to the senior management pursuant to the Global Plan. No restricted shares were granted during the year ended 2022.</w:t>
      </w:r>
    </w:p>
    <w:p>
      <w:pPr>
        <w:spacing w:after="0" w:line="1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F-57</w:t>
      </w:r>
    </w:p>
    <w:p>
      <w:pPr>
        <w:sectPr>
          <w:pgSz w:w="11900" w:h="16838" w:orient="portrait"/>
          <w:cols w:equalWidth="0" w:num="1">
            <w:col w:w="10540"/>
          </w:cols>
          <w:pgMar w:left="320" w:top="447" w:right="10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1100" w:right="6360" w:hanging="393"/>
        <w:spacing w:after="0" w:line="402" w:lineRule="auto"/>
        <w:tabs>
          <w:tab w:leader="none" w:pos="948" w:val="left"/>
        </w:tabs>
        <w:numPr>
          <w:ilvl w:val="0"/>
          <w:numId w:val="1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Share-based compensation (continued) </w:t>
      </w:r>
      <w:r>
        <w:rPr>
          <w:rFonts w:ascii="Times New Roman" w:cs="Times New Roman" w:eastAsia="Times New Roman" w:hAnsi="Times New Roman"/>
          <w:sz w:val="16"/>
          <w:szCs w:val="16"/>
          <w:i w:val="1"/>
          <w:iCs w:val="1"/>
          <w:color w:val="auto"/>
        </w:rPr>
        <w:t>Employees Restricted Shares Plan (Continued)</w:t>
      </w:r>
    </w:p>
    <w:p>
      <w:pPr>
        <w:ind w:left="1100"/>
        <w:spacing w:after="0"/>
        <w:rPr>
          <w:sz w:val="20"/>
          <w:szCs w:val="20"/>
          <w:color w:val="auto"/>
        </w:rPr>
      </w:pPr>
      <w:r>
        <w:rPr>
          <w:rFonts w:ascii="Times New Roman" w:cs="Times New Roman" w:eastAsia="Times New Roman" w:hAnsi="Times New Roman"/>
          <w:sz w:val="16"/>
          <w:szCs w:val="16"/>
          <w:color w:val="auto"/>
        </w:rPr>
        <w:t>The following table summarized the Company’s restricted shares activities under the Employees Restricted Shares Plan for the years ended</w:t>
      </w:r>
    </w:p>
    <w:p>
      <w:pPr>
        <w:spacing w:after="0" w:line="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December 31, 2020, 2021 and 2022:</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18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3"/>
                <w:szCs w:val="13"/>
                <w:color w:val="auto"/>
                <w:w w:val="96"/>
              </w:rPr>
              <w:t>Options to employees</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7"/>
              </w:rPr>
              <w:t>Weighted average</w:t>
            </w:r>
          </w:p>
        </w:tc>
        <w:tc>
          <w:tcPr>
            <w:tcW w:w="0" w:type="dxa"/>
            <w:vAlign w:val="bottom"/>
          </w:tcPr>
          <w:p>
            <w:pPr>
              <w:spacing w:after="0"/>
              <w:rPr>
                <w:sz w:val="1"/>
                <w:szCs w:val="1"/>
                <w:color w:val="auto"/>
              </w:rPr>
            </w:pPr>
          </w:p>
        </w:tc>
      </w:tr>
      <w:tr>
        <w:trPr>
          <w:trHeight w:val="153"/>
        </w:trPr>
        <w:tc>
          <w:tcPr>
            <w:tcW w:w="456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grant-date fair value</w:t>
            </w:r>
          </w:p>
        </w:tc>
        <w:tc>
          <w:tcPr>
            <w:tcW w:w="0" w:type="dxa"/>
            <w:vAlign w:val="bottom"/>
          </w:tcPr>
          <w:p>
            <w:pPr>
              <w:spacing w:after="0"/>
              <w:rPr>
                <w:sz w:val="1"/>
                <w:szCs w:val="1"/>
                <w:color w:val="auto"/>
              </w:rPr>
            </w:pPr>
          </w:p>
        </w:tc>
      </w:tr>
      <w:tr>
        <w:trPr>
          <w:trHeight w:val="185"/>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at January 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23,809,190</w:t>
            </w:r>
          </w:p>
        </w:tc>
        <w:tc>
          <w:tcPr>
            <w:tcW w:w="7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ind w:left="662"/>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Granted</w:t>
            </w:r>
          </w:p>
        </w:tc>
        <w:tc>
          <w:tcPr>
            <w:tcW w:w="182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left="62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3"/>
        </w:trPr>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Vested</w:t>
            </w:r>
          </w:p>
        </w:tc>
        <w:tc>
          <w:tcPr>
            <w:tcW w:w="18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(7,000,739)</w:t>
            </w:r>
          </w:p>
        </w:tc>
        <w:tc>
          <w:tcPr>
            <w:tcW w:w="1100" w:type="dxa"/>
            <w:vAlign w:val="bottom"/>
            <w:gridSpan w:val="2"/>
            <w:shd w:val="clear" w:color="auto" w:fill="CCEEFF"/>
          </w:tcPr>
          <w:p>
            <w:pPr>
              <w:jc w:val="center"/>
              <w:ind w:left="62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3"/>
        </w:trPr>
        <w:tc>
          <w:tcPr>
            <w:tcW w:w="4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Forfeited</w:t>
            </w:r>
          </w:p>
        </w:tc>
        <w:tc>
          <w:tcPr>
            <w:tcW w:w="18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(3,475,844)</w:t>
            </w:r>
          </w:p>
        </w:tc>
        <w:tc>
          <w:tcPr>
            <w:tcW w:w="1100" w:type="dxa"/>
            <w:vAlign w:val="bottom"/>
            <w:gridSpan w:val="2"/>
          </w:tcPr>
          <w:p>
            <w:pPr>
              <w:jc w:val="center"/>
              <w:ind w:left="62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
        </w:trPr>
        <w:tc>
          <w:tcPr>
            <w:tcW w:w="45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at December 31, 2020</w:t>
            </w:r>
          </w:p>
        </w:tc>
        <w:tc>
          <w:tcPr>
            <w:tcW w:w="18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13,332,607</w:t>
            </w:r>
          </w:p>
        </w:tc>
        <w:tc>
          <w:tcPr>
            <w:tcW w:w="1100" w:type="dxa"/>
            <w:vAlign w:val="bottom"/>
            <w:gridSpan w:val="2"/>
            <w:shd w:val="clear" w:color="auto" w:fill="CCEEFF"/>
          </w:tcPr>
          <w:p>
            <w:pPr>
              <w:jc w:val="center"/>
              <w:ind w:left="62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Non-vested at January 1, 2021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560" w:type="dxa"/>
            <w:vAlign w:val="bottom"/>
            <w:vMerge w:val="continue"/>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13,332,607</w:t>
            </w:r>
          </w:p>
        </w:tc>
        <w:tc>
          <w:tcPr>
            <w:tcW w:w="700" w:type="dxa"/>
            <w:vAlign w:val="bottom"/>
          </w:tcPr>
          <w:p>
            <w:pPr>
              <w:spacing w:after="0"/>
              <w:rPr>
                <w:sz w:val="15"/>
                <w:szCs w:val="15"/>
                <w:color w:val="auto"/>
              </w:rPr>
            </w:pPr>
          </w:p>
        </w:tc>
        <w:tc>
          <w:tcPr>
            <w:tcW w:w="1060" w:type="dxa"/>
            <w:vAlign w:val="bottom"/>
          </w:tcPr>
          <w:p>
            <w:pPr>
              <w:jc w:val="center"/>
              <w:ind w:left="662"/>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Granted</w:t>
            </w:r>
          </w:p>
        </w:tc>
        <w:tc>
          <w:tcPr>
            <w:tcW w:w="18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320,000</w:t>
            </w:r>
          </w:p>
        </w:tc>
        <w:tc>
          <w:tcPr>
            <w:tcW w:w="1100" w:type="dxa"/>
            <w:vAlign w:val="bottom"/>
            <w:gridSpan w:val="2"/>
            <w:shd w:val="clear" w:color="auto" w:fill="CCEEFF"/>
          </w:tcPr>
          <w:p>
            <w:pPr>
              <w:jc w:val="center"/>
              <w:ind w:left="662"/>
              <w:spacing w:after="0"/>
              <w:rPr>
                <w:sz w:val="20"/>
                <w:szCs w:val="20"/>
                <w:color w:val="auto"/>
              </w:rPr>
            </w:pPr>
            <w:r>
              <w:rPr>
                <w:rFonts w:ascii="Times New Roman" w:cs="Times New Roman" w:eastAsia="Times New Roman" w:hAnsi="Times New Roman"/>
                <w:sz w:val="16"/>
                <w:szCs w:val="16"/>
                <w:color w:val="auto"/>
                <w:w w:val="99"/>
              </w:rPr>
              <w:t>2.49</w:t>
            </w:r>
          </w:p>
        </w:tc>
        <w:tc>
          <w:tcPr>
            <w:tcW w:w="0" w:type="dxa"/>
            <w:vAlign w:val="bottom"/>
          </w:tcPr>
          <w:p>
            <w:pPr>
              <w:spacing w:after="0"/>
              <w:rPr>
                <w:sz w:val="1"/>
                <w:szCs w:val="1"/>
                <w:color w:val="auto"/>
              </w:rPr>
            </w:pPr>
          </w:p>
        </w:tc>
      </w:tr>
      <w:tr>
        <w:trPr>
          <w:trHeight w:val="193"/>
        </w:trPr>
        <w:tc>
          <w:tcPr>
            <w:tcW w:w="4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Vested</w:t>
            </w:r>
          </w:p>
        </w:tc>
        <w:tc>
          <w:tcPr>
            <w:tcW w:w="18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(4,925,510)</w:t>
            </w:r>
          </w:p>
        </w:tc>
        <w:tc>
          <w:tcPr>
            <w:tcW w:w="1100" w:type="dxa"/>
            <w:vAlign w:val="bottom"/>
            <w:gridSpan w:val="2"/>
          </w:tcPr>
          <w:p>
            <w:pPr>
              <w:jc w:val="center"/>
              <w:ind w:left="62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3"/>
        </w:trPr>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Forfeited</w:t>
            </w:r>
          </w:p>
        </w:tc>
        <w:tc>
          <w:tcPr>
            <w:tcW w:w="18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(613,553)</w:t>
            </w:r>
          </w:p>
        </w:tc>
        <w:tc>
          <w:tcPr>
            <w:tcW w:w="1100" w:type="dxa"/>
            <w:vAlign w:val="bottom"/>
            <w:gridSpan w:val="2"/>
            <w:shd w:val="clear" w:color="auto" w:fill="CCEEFF"/>
          </w:tcPr>
          <w:p>
            <w:pPr>
              <w:jc w:val="center"/>
              <w:ind w:left="62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7"/>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Non-vested at December 31, 2021</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8,113,544</w:t>
            </w:r>
          </w:p>
        </w:tc>
        <w:tc>
          <w:tcPr>
            <w:tcW w:w="7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center"/>
              <w:ind w:left="662"/>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5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Non-vested at January 1, 2022</w:t>
            </w:r>
          </w:p>
        </w:tc>
        <w:tc>
          <w:tcPr>
            <w:tcW w:w="1820" w:type="dxa"/>
            <w:vAlign w:val="bottom"/>
            <w:gridSpan w:val="2"/>
            <w:shd w:val="clear" w:color="auto" w:fill="CCEEFF"/>
          </w:tcPr>
          <w:p>
            <w:pPr>
              <w:jc w:val="right"/>
              <w:ind w:right="700"/>
              <w:spacing w:after="0" w:line="181" w:lineRule="exact"/>
              <w:rPr>
                <w:sz w:val="20"/>
                <w:szCs w:val="20"/>
                <w:color w:val="auto"/>
              </w:rPr>
            </w:pPr>
            <w:r>
              <w:rPr>
                <w:rFonts w:ascii="Times New Roman" w:cs="Times New Roman" w:eastAsia="Times New Roman" w:hAnsi="Times New Roman"/>
                <w:sz w:val="16"/>
                <w:szCs w:val="16"/>
                <w:color w:val="auto"/>
              </w:rPr>
              <w:t>8,113,544</w:t>
            </w:r>
          </w:p>
        </w:tc>
        <w:tc>
          <w:tcPr>
            <w:tcW w:w="1100" w:type="dxa"/>
            <w:vAlign w:val="bottom"/>
            <w:gridSpan w:val="2"/>
            <w:shd w:val="clear" w:color="auto" w:fill="CCEEFF"/>
          </w:tcPr>
          <w:p>
            <w:pPr>
              <w:jc w:val="center"/>
              <w:ind w:left="622"/>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3"/>
        </w:trPr>
        <w:tc>
          <w:tcPr>
            <w:tcW w:w="4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Granted</w:t>
            </w:r>
          </w:p>
        </w:tc>
        <w:tc>
          <w:tcPr>
            <w:tcW w:w="182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left="62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3"/>
        </w:trPr>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Vested</w:t>
            </w:r>
          </w:p>
        </w:tc>
        <w:tc>
          <w:tcPr>
            <w:tcW w:w="18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(4,519,185)</w:t>
            </w:r>
          </w:p>
        </w:tc>
        <w:tc>
          <w:tcPr>
            <w:tcW w:w="1100" w:type="dxa"/>
            <w:vAlign w:val="bottom"/>
            <w:gridSpan w:val="2"/>
            <w:shd w:val="clear" w:color="auto" w:fill="CCEEFF"/>
          </w:tcPr>
          <w:p>
            <w:pPr>
              <w:jc w:val="center"/>
              <w:ind w:left="62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3"/>
        </w:trPr>
        <w:tc>
          <w:tcPr>
            <w:tcW w:w="4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Forfeited</w:t>
            </w:r>
          </w:p>
        </w:tc>
        <w:tc>
          <w:tcPr>
            <w:tcW w:w="18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(163,614)</w:t>
            </w:r>
          </w:p>
        </w:tc>
        <w:tc>
          <w:tcPr>
            <w:tcW w:w="1100" w:type="dxa"/>
            <w:vAlign w:val="bottom"/>
            <w:gridSpan w:val="2"/>
          </w:tcPr>
          <w:p>
            <w:pPr>
              <w:jc w:val="center"/>
              <w:ind w:left="62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
        </w:trPr>
        <w:tc>
          <w:tcPr>
            <w:tcW w:w="45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at December 31, 2022</w:t>
            </w:r>
          </w:p>
        </w:tc>
        <w:tc>
          <w:tcPr>
            <w:tcW w:w="18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3,430,745</w:t>
            </w:r>
          </w:p>
        </w:tc>
        <w:tc>
          <w:tcPr>
            <w:tcW w:w="1100" w:type="dxa"/>
            <w:vAlign w:val="bottom"/>
            <w:gridSpan w:val="2"/>
            <w:shd w:val="clear" w:color="auto" w:fill="CCEEFF"/>
          </w:tcPr>
          <w:p>
            <w:pPr>
              <w:jc w:val="center"/>
              <w:ind w:left="62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right="180" w:firstLine="393"/>
        <w:spacing w:after="0" w:line="259" w:lineRule="auto"/>
        <w:rPr>
          <w:sz w:val="20"/>
          <w:szCs w:val="20"/>
          <w:color w:val="auto"/>
        </w:rPr>
      </w:pPr>
      <w:r>
        <w:rPr>
          <w:rFonts w:ascii="Times New Roman" w:cs="Times New Roman" w:eastAsia="Times New Roman" w:hAnsi="Times New Roman"/>
          <w:sz w:val="16"/>
          <w:szCs w:val="16"/>
          <w:color w:val="auto"/>
        </w:rPr>
        <w:t>Restricted shares granted to employees are measured based on their grant-date fair values and recognized as compensation cost on a graded-vesting method over the requisite 2.25 to 4 years’ service period. The weighted average grant date fair value of restricted shares granted for the years ended December 31, 2020, 2021 and 2022 were nil, RMB2.49 per share and nil, respectively. As of December 31, 2020, 2021 and 2022, there were a total of RMB35,880, RMB11,355 and RMB8,163 share-based compensation expenses recognized, respectively. As of December 31, 2021 and 2022, there were RMB11,883 and RMB770 unrecognized share-based compensation, respectively.</w:t>
      </w:r>
    </w:p>
    <w:p>
      <w:pPr>
        <w:spacing w:after="0" w:line="2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Shares Award</w:t>
      </w:r>
    </w:p>
    <w:p>
      <w:pPr>
        <w:spacing w:after="0" w:line="107" w:lineRule="exact"/>
        <w:rPr>
          <w:sz w:val="20"/>
          <w:szCs w:val="20"/>
          <w:color w:val="auto"/>
        </w:rPr>
      </w:pPr>
    </w:p>
    <w:p>
      <w:pPr>
        <w:ind w:left="700" w:firstLine="393"/>
        <w:spacing w:after="0" w:line="267" w:lineRule="auto"/>
        <w:rPr>
          <w:sz w:val="20"/>
          <w:szCs w:val="20"/>
          <w:color w:val="auto"/>
        </w:rPr>
      </w:pPr>
      <w:r>
        <w:rPr>
          <w:rFonts w:ascii="Times New Roman" w:cs="Times New Roman" w:eastAsia="Times New Roman" w:hAnsi="Times New Roman"/>
          <w:sz w:val="16"/>
          <w:szCs w:val="16"/>
          <w:color w:val="auto"/>
        </w:rPr>
        <w:t>Under the Shares Award Agreement, 14,229,183 common shares were awarded to Mr. Cunjun Ma directly through an entity wholly owned by Mr. Cunjun Ma with no consideration on June 30, 2019. The fair value of the shares awarded was RMB4.20 per share, and a total of RMB59,778 share-based compensation expense was recognized on June 30, 2019. No shares were awarded during the years ended December 31, 2020, 2021 and 2022.</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F-58</w:t>
      </w:r>
    </w:p>
    <w:p>
      <w:pPr>
        <w:sectPr>
          <w:pgSz w:w="11900" w:h="16838" w:orient="portrait"/>
          <w:cols w:equalWidth="0" w:num="1">
            <w:col w:w="10480"/>
          </w:cols>
          <w:pgMar w:left="320" w:top="447" w:right="10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18. Operating revenue</w:t>
      </w:r>
    </w:p>
    <w:p>
      <w:pPr>
        <w:spacing w:after="0" w:line="224"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8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8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3"/>
                <w:szCs w:val="13"/>
                <w:color w:val="auto"/>
                <w:w w:val="98"/>
              </w:rPr>
              <w:t>For the Year Ended December 31,</w:t>
            </w: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bottom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9"/>
              </w:rPr>
              <w:t>2020</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bottom w:val="single" w:sz="8" w:color="auto"/>
            </w:tcBorders>
            <w:gridSpan w:val="2"/>
          </w:tcPr>
          <w:p>
            <w:pPr>
              <w:ind w:left="340"/>
              <w:spacing w:after="0" w:line="125" w:lineRule="exact"/>
              <w:rPr>
                <w:sz w:val="20"/>
                <w:szCs w:val="20"/>
                <w:color w:val="auto"/>
              </w:rPr>
            </w:pPr>
            <w:r>
              <w:rPr>
                <w:rFonts w:ascii="Times New Roman" w:cs="Times New Roman" w:eastAsia="Times New Roman" w:hAnsi="Times New Roman"/>
                <w:sz w:val="13"/>
                <w:szCs w:val="13"/>
                <w:color w:val="auto"/>
              </w:rPr>
              <w:t>2021</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ind w:left="60"/>
              <w:spacing w:after="0" w:line="125" w:lineRule="exact"/>
              <w:rPr>
                <w:sz w:val="20"/>
                <w:szCs w:val="20"/>
                <w:color w:val="auto"/>
              </w:rPr>
            </w:pPr>
            <w:r>
              <w:rPr>
                <w:rFonts w:ascii="Times New Roman" w:cs="Times New Roman" w:eastAsia="Times New Roman" w:hAnsi="Times New Roman"/>
                <w:sz w:val="13"/>
                <w:szCs w:val="13"/>
                <w:color w:val="auto"/>
              </w:rPr>
              <w:t>2022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jc w:val="center"/>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jc w:val="right"/>
              <w:ind w:right="268"/>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Brokerage income</w:t>
            </w:r>
          </w:p>
        </w:tc>
        <w:tc>
          <w:tcPr>
            <w:tcW w:w="1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-Life and health insurance business</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1,166,118</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2,170,767</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1,046,469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-Property and casualty insurance business</w:t>
            </w:r>
          </w:p>
        </w:tc>
        <w:tc>
          <w:tcPr>
            <w:tcW w:w="2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49,316</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61,486</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Brokerage income subtotal</w:t>
            </w: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1,215,434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2,232,253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1,108,652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4,788</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12,763</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Total operating revenue</w:t>
            </w: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1,220,222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2,245,016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1,157,908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19. Selling expense</w:t>
            </w: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40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3"/>
                <w:szCs w:val="13"/>
                <w:color w:val="auto"/>
                <w:w w:val="98"/>
              </w:rPr>
              <w:t>For the Year Ended December 31,</w:t>
            </w: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3"/>
                <w:szCs w:val="13"/>
                <w:color w:val="auto"/>
                <w:w w:val="99"/>
              </w:rPr>
              <w:t>2020</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ind w:left="360"/>
              <w:spacing w:after="0" w:line="125" w:lineRule="exact"/>
              <w:rPr>
                <w:sz w:val="20"/>
                <w:szCs w:val="20"/>
                <w:color w:val="auto"/>
              </w:rPr>
            </w:pPr>
            <w:r>
              <w:rPr>
                <w:rFonts w:ascii="Times New Roman" w:cs="Times New Roman" w:eastAsia="Times New Roman" w:hAnsi="Times New Roman"/>
                <w:sz w:val="13"/>
                <w:szCs w:val="13"/>
                <w:color w:val="auto"/>
              </w:rPr>
              <w:t>2021</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Times New Roman" w:cs="Times New Roman" w:eastAsia="Times New Roman" w:hAnsi="Times New Roman"/>
                <w:sz w:val="13"/>
                <w:szCs w:val="13"/>
                <w:color w:val="auto"/>
              </w:rPr>
              <w:t>2022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40"/>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top w:val="single" w:sz="8" w:color="auto"/>
            </w:tcBorders>
            <w:gridSpan w:val="2"/>
          </w:tcPr>
          <w:p>
            <w:pPr>
              <w:ind w:left="340"/>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ind w:left="60"/>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Salaries and employment benefits</w:t>
            </w:r>
          </w:p>
        </w:tc>
        <w:tc>
          <w:tcPr>
            <w:tcW w:w="2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129,327</w:t>
            </w:r>
          </w:p>
        </w:tc>
        <w:tc>
          <w:tcPr>
            <w:tcW w:w="18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222,428</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166,588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Advertising and marketing expenses</w:t>
            </w:r>
          </w:p>
        </w:tc>
        <w:tc>
          <w:tcPr>
            <w:tcW w:w="22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71,472</w:t>
            </w:r>
          </w:p>
        </w:tc>
        <w:tc>
          <w:tcPr>
            <w:tcW w:w="180" w:type="dxa"/>
            <w:vAlign w:val="bottom"/>
          </w:tcPr>
          <w:p>
            <w:pPr>
              <w:spacing w:after="0"/>
              <w:rPr>
                <w:sz w:val="16"/>
                <w:szCs w:val="16"/>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97,945</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Rental and utilities expenses</w:t>
            </w:r>
          </w:p>
        </w:tc>
        <w:tc>
          <w:tcPr>
            <w:tcW w:w="2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6,961</w:t>
            </w:r>
          </w:p>
        </w:tc>
        <w:tc>
          <w:tcPr>
            <w:tcW w:w="18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13,781</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Office expenses</w:t>
            </w:r>
          </w:p>
        </w:tc>
        <w:tc>
          <w:tcPr>
            <w:tcW w:w="22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5,877</w:t>
            </w:r>
          </w:p>
        </w:tc>
        <w:tc>
          <w:tcPr>
            <w:tcW w:w="180" w:type="dxa"/>
            <w:vAlign w:val="bottom"/>
          </w:tcPr>
          <w:p>
            <w:pPr>
              <w:spacing w:after="0"/>
              <w:rPr>
                <w:sz w:val="16"/>
                <w:szCs w:val="16"/>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5,623</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Travelling expenses</w:t>
            </w:r>
          </w:p>
        </w:tc>
        <w:tc>
          <w:tcPr>
            <w:tcW w:w="2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1,689</w:t>
            </w:r>
          </w:p>
        </w:tc>
        <w:tc>
          <w:tcPr>
            <w:tcW w:w="18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3,734</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amortizations</w:t>
            </w:r>
          </w:p>
        </w:tc>
        <w:tc>
          <w:tcPr>
            <w:tcW w:w="22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444</w:t>
            </w:r>
          </w:p>
        </w:tc>
        <w:tc>
          <w:tcPr>
            <w:tcW w:w="180" w:type="dxa"/>
            <w:vAlign w:val="bottom"/>
          </w:tcPr>
          <w:p>
            <w:pPr>
              <w:spacing w:after="0"/>
              <w:rPr>
                <w:sz w:val="16"/>
                <w:szCs w:val="16"/>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680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2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10,642</w:t>
            </w:r>
          </w:p>
        </w:tc>
        <w:tc>
          <w:tcPr>
            <w:tcW w:w="180" w:type="dxa"/>
            <w:vAlign w:val="bottom"/>
            <w:shd w:val="clear" w:color="auto" w:fill="CCEEFF"/>
          </w:tcPr>
          <w:p>
            <w:pPr>
              <w:spacing w:after="0"/>
              <w:rPr>
                <w:sz w:val="16"/>
                <w:szCs w:val="16"/>
                <w:color w:val="auto"/>
              </w:rPr>
            </w:pPr>
          </w:p>
        </w:tc>
        <w:tc>
          <w:tcPr>
            <w:tcW w:w="11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(475)</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Business development</w:t>
            </w:r>
          </w:p>
        </w:tc>
        <w:tc>
          <w:tcPr>
            <w:tcW w:w="22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384</w:t>
            </w:r>
          </w:p>
        </w:tc>
        <w:tc>
          <w:tcPr>
            <w:tcW w:w="180" w:type="dxa"/>
            <w:vAlign w:val="bottom"/>
          </w:tcPr>
          <w:p>
            <w:pPr>
              <w:spacing w:after="0"/>
              <w:rPr>
                <w:sz w:val="16"/>
                <w:szCs w:val="16"/>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761</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2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3,642</w:t>
            </w:r>
          </w:p>
        </w:tc>
        <w:tc>
          <w:tcPr>
            <w:tcW w:w="18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6,096</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Total</w:t>
            </w:r>
          </w:p>
        </w:tc>
        <w:tc>
          <w:tcPr>
            <w:tcW w:w="1420" w:type="dxa"/>
            <w:vAlign w:val="bottom"/>
          </w:tcPr>
          <w:p>
            <w:pPr>
              <w:spacing w:after="0"/>
              <w:rPr>
                <w:sz w:val="17"/>
                <w:szCs w:val="17"/>
                <w:color w:val="auto"/>
              </w:rPr>
            </w:pPr>
          </w:p>
        </w:tc>
        <w:tc>
          <w:tcPr>
            <w:tcW w:w="8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230,438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350,573</w:t>
            </w: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231,664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20. General and administrative expenses</w:t>
            </w:r>
          </w:p>
        </w:tc>
        <w:tc>
          <w:tcPr>
            <w:tcW w:w="1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40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3"/>
                <w:szCs w:val="13"/>
                <w:color w:val="auto"/>
                <w:w w:val="98"/>
              </w:rPr>
              <w:t>For the Year Ended December 31,</w:t>
            </w: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3"/>
                <w:szCs w:val="13"/>
                <w:color w:val="auto"/>
                <w:w w:val="99"/>
              </w:rPr>
              <w:t>2020</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ind w:left="360"/>
              <w:spacing w:after="0" w:line="125" w:lineRule="exact"/>
              <w:rPr>
                <w:sz w:val="20"/>
                <w:szCs w:val="20"/>
                <w:color w:val="auto"/>
              </w:rPr>
            </w:pPr>
            <w:r>
              <w:rPr>
                <w:rFonts w:ascii="Times New Roman" w:cs="Times New Roman" w:eastAsia="Times New Roman" w:hAnsi="Times New Roman"/>
                <w:sz w:val="13"/>
                <w:szCs w:val="13"/>
                <w:color w:val="auto"/>
              </w:rPr>
              <w:t>2021</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Times New Roman" w:cs="Times New Roman" w:eastAsia="Times New Roman" w:hAnsi="Times New Roman"/>
                <w:sz w:val="13"/>
                <w:szCs w:val="13"/>
                <w:color w:val="auto"/>
              </w:rPr>
              <w:t>2022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40"/>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top w:val="single" w:sz="8" w:color="auto"/>
            </w:tcBorders>
            <w:gridSpan w:val="2"/>
          </w:tcPr>
          <w:p>
            <w:pPr>
              <w:ind w:left="340"/>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ind w:left="60"/>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Salaries and employment benefits</w:t>
            </w:r>
          </w:p>
        </w:tc>
        <w:tc>
          <w:tcPr>
            <w:tcW w:w="2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51,457</w:t>
            </w:r>
          </w:p>
        </w:tc>
        <w:tc>
          <w:tcPr>
            <w:tcW w:w="18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87,321</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59,484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Rental and utilities expenses</w:t>
            </w:r>
          </w:p>
        </w:tc>
        <w:tc>
          <w:tcPr>
            <w:tcW w:w="22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2,332</w:t>
            </w:r>
          </w:p>
        </w:tc>
        <w:tc>
          <w:tcPr>
            <w:tcW w:w="180" w:type="dxa"/>
            <w:vAlign w:val="bottom"/>
          </w:tcPr>
          <w:p>
            <w:pPr>
              <w:spacing w:after="0"/>
              <w:rPr>
                <w:sz w:val="16"/>
                <w:szCs w:val="16"/>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33,486</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Professional service expenses</w:t>
            </w:r>
          </w:p>
        </w:tc>
        <w:tc>
          <w:tcPr>
            <w:tcW w:w="2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20,075</w:t>
            </w:r>
          </w:p>
        </w:tc>
        <w:tc>
          <w:tcPr>
            <w:tcW w:w="18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31,868</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amortizations</w:t>
            </w:r>
          </w:p>
        </w:tc>
        <w:tc>
          <w:tcPr>
            <w:tcW w:w="22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1,875</w:t>
            </w:r>
          </w:p>
        </w:tc>
        <w:tc>
          <w:tcPr>
            <w:tcW w:w="180" w:type="dxa"/>
            <w:vAlign w:val="bottom"/>
          </w:tcPr>
          <w:p>
            <w:pPr>
              <w:spacing w:after="0"/>
              <w:rPr>
                <w:sz w:val="16"/>
                <w:szCs w:val="16"/>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2,195</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2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40,820</w:t>
            </w:r>
          </w:p>
        </w:tc>
        <w:tc>
          <w:tcPr>
            <w:tcW w:w="180" w:type="dxa"/>
            <w:vAlign w:val="bottom"/>
            <w:shd w:val="clear" w:color="auto" w:fill="CCEEFF"/>
          </w:tcPr>
          <w:p>
            <w:pPr>
              <w:spacing w:after="0"/>
              <w:rPr>
                <w:sz w:val="16"/>
                <w:szCs w:val="16"/>
                <w:color w:val="auto"/>
              </w:rPr>
            </w:pPr>
          </w:p>
        </w:tc>
        <w:tc>
          <w:tcPr>
            <w:tcW w:w="11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(665)</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Directors and Officers liability insurance premium</w:t>
            </w:r>
          </w:p>
        </w:tc>
        <w:tc>
          <w:tcPr>
            <w:tcW w:w="22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6,127</w:t>
            </w:r>
          </w:p>
        </w:tc>
        <w:tc>
          <w:tcPr>
            <w:tcW w:w="180" w:type="dxa"/>
            <w:vAlign w:val="bottom"/>
          </w:tcPr>
          <w:p>
            <w:pPr>
              <w:spacing w:after="0"/>
              <w:rPr>
                <w:sz w:val="16"/>
                <w:szCs w:val="16"/>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7,798</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expenses</w:t>
            </w:r>
          </w:p>
        </w:tc>
        <w:tc>
          <w:tcPr>
            <w:tcW w:w="2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3,811</w:t>
            </w:r>
          </w:p>
        </w:tc>
        <w:tc>
          <w:tcPr>
            <w:tcW w:w="18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8,532</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VAT Surcharge</w:t>
            </w:r>
          </w:p>
        </w:tc>
        <w:tc>
          <w:tcPr>
            <w:tcW w:w="22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3,845</w:t>
            </w:r>
          </w:p>
        </w:tc>
        <w:tc>
          <w:tcPr>
            <w:tcW w:w="180" w:type="dxa"/>
            <w:vAlign w:val="bottom"/>
          </w:tcPr>
          <w:p>
            <w:pPr>
              <w:spacing w:after="0"/>
              <w:rPr>
                <w:sz w:val="16"/>
                <w:szCs w:val="16"/>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6,954</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charges</w:t>
            </w:r>
          </w:p>
        </w:tc>
        <w:tc>
          <w:tcPr>
            <w:tcW w:w="2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7,849</w:t>
            </w:r>
          </w:p>
        </w:tc>
        <w:tc>
          <w:tcPr>
            <w:tcW w:w="18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7,955</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Bad debt expense</w:t>
            </w:r>
          </w:p>
        </w:tc>
        <w:tc>
          <w:tcPr>
            <w:tcW w:w="22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1,218</w:t>
            </w:r>
          </w:p>
        </w:tc>
        <w:tc>
          <w:tcPr>
            <w:tcW w:w="180" w:type="dxa"/>
            <w:vAlign w:val="bottom"/>
          </w:tcPr>
          <w:p>
            <w:pPr>
              <w:spacing w:after="0"/>
              <w:rPr>
                <w:sz w:val="16"/>
                <w:szCs w:val="16"/>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1,445</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Travelling expenses</w:t>
            </w:r>
          </w:p>
        </w:tc>
        <w:tc>
          <w:tcPr>
            <w:tcW w:w="2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1,648</w:t>
            </w:r>
          </w:p>
        </w:tc>
        <w:tc>
          <w:tcPr>
            <w:tcW w:w="18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1,675</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0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420" w:type="dxa"/>
            <w:vAlign w:val="bottom"/>
          </w:tcPr>
          <w:p>
            <w:pPr>
              <w:spacing w:after="0"/>
              <w:rPr>
                <w:sz w:val="17"/>
                <w:szCs w:val="17"/>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9,150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9,055</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420" w:type="dxa"/>
            <w:vAlign w:val="bottom"/>
            <w:shd w:val="clear" w:color="auto" w:fill="CCEEFF"/>
          </w:tcPr>
          <w:p>
            <w:pPr>
              <w:spacing w:after="0"/>
              <w:rPr>
                <w:sz w:val="16"/>
                <w:szCs w:val="16"/>
                <w:color w:val="auto"/>
              </w:rPr>
            </w:pPr>
          </w:p>
        </w:tc>
        <w:tc>
          <w:tcPr>
            <w:tcW w:w="8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150,207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197,619</w:t>
            </w:r>
          </w:p>
        </w:tc>
        <w:tc>
          <w:tcPr>
            <w:tcW w:w="1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154,715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F-59</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47"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21. Investment income/(loss)</w:t>
      </w:r>
    </w:p>
    <w:p>
      <w:pPr>
        <w:spacing w:after="0" w:line="224"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3"/>
          <w:szCs w:val="13"/>
          <w:color w:val="auto"/>
        </w:rPr>
        <w:t>For the Year Ended December 31,</w:t>
      </w:r>
    </w:p>
    <w:p>
      <w:pPr>
        <w:spacing w:after="0" w:line="3" w:lineRule="exact"/>
        <w:rPr>
          <w:sz w:val="20"/>
          <w:szCs w:val="20"/>
          <w:color w:val="auto"/>
        </w:rPr>
      </w:pPr>
    </w:p>
    <w:tbl>
      <w:tblPr>
        <w:tblLayout w:type="fixed"/>
        <w:tblInd w:w="1500" w:type="dxa"/>
        <w:tblCellMar>
          <w:top w:w="0" w:type="dxa"/>
          <w:left w:w="0" w:type="dxa"/>
          <w:bottom w:w="0" w:type="dxa"/>
          <w:right w:w="0" w:type="dxa"/>
        </w:tblCellMar>
      </w:tblPr>
      <w:tr>
        <w:trPr>
          <w:trHeight w:val="125"/>
        </w:trPr>
        <w:tc>
          <w:tcPr>
            <w:tcW w:w="4940" w:type="dxa"/>
            <w:vAlign w:val="bottom"/>
            <w:gridSpan w:val="2"/>
          </w:tcPr>
          <w:p>
            <w:pPr>
              <w:spacing w:after="0"/>
              <w:rPr>
                <w:sz w:val="10"/>
                <w:szCs w:val="10"/>
                <w:color w:val="auto"/>
              </w:rPr>
            </w:pPr>
          </w:p>
        </w:tc>
        <w:tc>
          <w:tcPr>
            <w:tcW w:w="600" w:type="dxa"/>
            <w:vAlign w:val="bottom"/>
            <w:tcBorders>
              <w:top w:val="single" w:sz="8" w:color="auto"/>
            </w:tcBorders>
          </w:tcPr>
          <w:p>
            <w:pPr>
              <w:ind w:left="300"/>
              <w:spacing w:after="0" w:line="125" w:lineRule="exact"/>
              <w:rPr>
                <w:sz w:val="20"/>
                <w:szCs w:val="20"/>
                <w:color w:val="auto"/>
              </w:rPr>
            </w:pPr>
            <w:r>
              <w:rPr>
                <w:rFonts w:ascii="Times New Roman" w:cs="Times New Roman" w:eastAsia="Times New Roman" w:hAnsi="Times New Roman"/>
                <w:sz w:val="13"/>
                <w:szCs w:val="13"/>
                <w:color w:val="auto"/>
              </w:rPr>
              <w:t>2020</w:t>
            </w:r>
          </w:p>
        </w:tc>
        <w:tc>
          <w:tcPr>
            <w:tcW w:w="2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288"/>
              <w:spacing w:after="0" w:line="125" w:lineRule="exact"/>
              <w:rPr>
                <w:sz w:val="20"/>
                <w:szCs w:val="20"/>
                <w:color w:val="auto"/>
              </w:rPr>
            </w:pPr>
            <w:r>
              <w:rPr>
                <w:rFonts w:ascii="Times New Roman" w:cs="Times New Roman" w:eastAsia="Times New Roman" w:hAnsi="Times New Roman"/>
                <w:sz w:val="13"/>
                <w:szCs w:val="13"/>
                <w:color w:val="auto"/>
              </w:rPr>
              <w:t>2021</w:t>
            </w: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83"/>
              <w:spacing w:after="0" w:line="125" w:lineRule="exact"/>
              <w:rPr>
                <w:sz w:val="20"/>
                <w:szCs w:val="20"/>
                <w:color w:val="auto"/>
              </w:rPr>
            </w:pPr>
            <w:r>
              <w:rPr>
                <w:rFonts w:ascii="Times New Roman" w:cs="Times New Roman" w:eastAsia="Times New Roman" w:hAnsi="Times New Roman"/>
                <w:sz w:val="13"/>
                <w:szCs w:val="13"/>
                <w:color w:val="auto"/>
              </w:rPr>
              <w:t>2022</w:t>
            </w:r>
          </w:p>
        </w:tc>
        <w:tc>
          <w:tcPr>
            <w:tcW w:w="12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600" w:type="dxa"/>
            <w:vAlign w:val="bottom"/>
            <w:tcBorders>
              <w:top w:val="single" w:sz="8" w:color="auto"/>
            </w:tcBorders>
          </w:tcPr>
          <w:p>
            <w:pPr>
              <w:ind w:left="280"/>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2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top w:val="single" w:sz="8" w:color="auto"/>
            </w:tcBorders>
          </w:tcPr>
          <w:p>
            <w:pPr>
              <w:jc w:val="right"/>
              <w:ind w:right="288"/>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80" w:type="dxa"/>
            <w:vAlign w:val="bottom"/>
          </w:tcPr>
          <w:p>
            <w:pPr>
              <w:spacing w:after="0"/>
              <w:rPr>
                <w:sz w:val="10"/>
                <w:szCs w:val="10"/>
                <w:color w:val="auto"/>
              </w:rPr>
            </w:pPr>
          </w:p>
        </w:tc>
        <w:tc>
          <w:tcPr>
            <w:tcW w:w="980" w:type="dxa"/>
            <w:vAlign w:val="bottom"/>
            <w:tcBorders>
              <w:top w:val="single" w:sz="8" w:color="auto"/>
            </w:tcBorders>
          </w:tcPr>
          <w:p>
            <w:pPr>
              <w:jc w:val="right"/>
              <w:ind w:right="263"/>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20" w:type="dxa"/>
            <w:vAlign w:val="bottom"/>
          </w:tcPr>
          <w:p>
            <w:pPr>
              <w:spacing w:after="0"/>
              <w:rPr>
                <w:sz w:val="10"/>
                <w:szCs w:val="10"/>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change of investments accounted for at fair value</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(1,339)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(109)</w:t>
            </w:r>
          </w:p>
        </w:tc>
      </w:tr>
      <w:tr>
        <w:trPr>
          <w:trHeight w:val="176"/>
        </w:trPr>
        <w:tc>
          <w:tcPr>
            <w:tcW w:w="20" w:type="dxa"/>
            <w:vAlign w:val="bottom"/>
          </w:tcPr>
          <w:p>
            <w:pPr>
              <w:spacing w:after="0"/>
              <w:rPr>
                <w:sz w:val="15"/>
                <w:szCs w:val="15"/>
                <w:color w:val="auto"/>
              </w:rPr>
            </w:pPr>
          </w:p>
        </w:tc>
        <w:tc>
          <w:tcPr>
            <w:tcW w:w="552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Fair value change of equity investments measured under NAV practical</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expedient</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(2,885)</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(2,675)</w:t>
            </w:r>
          </w:p>
        </w:tc>
      </w:tr>
      <w:tr>
        <w:trPr>
          <w:trHeight w:val="193"/>
        </w:trPr>
        <w:tc>
          <w:tcPr>
            <w:tcW w:w="20" w:type="dxa"/>
            <w:vAlign w:val="bottom"/>
          </w:tcPr>
          <w:p>
            <w:pPr>
              <w:spacing w:after="0"/>
              <w:rPr>
                <w:sz w:val="16"/>
                <w:szCs w:val="16"/>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received from equity investments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1"/>
              </w:rPr>
              <w:t>137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shd w:val="clear" w:color="auto" w:fill="CCEEFF"/>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552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Impairment loss related to equity investments measured under</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measurement alternative</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(1,610)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20" w:type="dxa"/>
            <w:vAlign w:val="bottom"/>
          </w:tcPr>
          <w:p>
            <w:pPr>
              <w:spacing w:after="0"/>
              <w:rPr>
                <w:sz w:val="16"/>
                <w:szCs w:val="16"/>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gain/(loss) related to the investments accounted for at fair value</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Gain on disposal of subsidiary</w:t>
            </w: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1"/>
              </w:rPr>
              <w:t>137</w:t>
            </w: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(5,328)</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(2,216)</w:t>
            </w: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22. Net loss per share</w:t>
      </w:r>
    </w:p>
    <w:p>
      <w:pPr>
        <w:spacing w:after="0" w:line="107"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Basic net loss per share and diluted net loss per share have been calculated in accordance with ASC 260 on computation of earnings per share for the years ended December 31, 2020, 2021 and 2022 as follows:</w:t>
      </w:r>
    </w:p>
    <w:p>
      <w:pPr>
        <w:spacing w:after="0" w:line="164" w:lineRule="exact"/>
        <w:rPr>
          <w:sz w:val="20"/>
          <w:szCs w:val="20"/>
          <w:color w:val="auto"/>
        </w:rPr>
      </w:pPr>
    </w:p>
    <w:tbl>
      <w:tblPr>
        <w:tblLayout w:type="fixed"/>
        <w:tblInd w:w="1500" w:type="dxa"/>
        <w:tblCellMar>
          <w:top w:w="0" w:type="dxa"/>
          <w:left w:w="0" w:type="dxa"/>
          <w:bottom w:w="0" w:type="dxa"/>
          <w:right w:w="0" w:type="dxa"/>
        </w:tblCellMar>
      </w:tblPr>
      <w:tr>
        <w:trPr>
          <w:trHeight w:val="153"/>
        </w:trPr>
        <w:tc>
          <w:tcPr>
            <w:tcW w:w="5000" w:type="dxa"/>
            <w:vAlign w:val="bottom"/>
          </w:tcPr>
          <w:p>
            <w:pPr>
              <w:spacing w:after="0"/>
              <w:rPr>
                <w:sz w:val="13"/>
                <w:szCs w:val="13"/>
                <w:color w:val="auto"/>
              </w:rPr>
            </w:pPr>
          </w:p>
        </w:tc>
        <w:tc>
          <w:tcPr>
            <w:tcW w:w="3260" w:type="dxa"/>
            <w:vAlign w:val="bottom"/>
            <w:gridSpan w:val="6"/>
          </w:tcPr>
          <w:p>
            <w:pPr>
              <w:jc w:val="right"/>
              <w:ind w:right="820"/>
              <w:spacing w:after="0"/>
              <w:rPr>
                <w:sz w:val="20"/>
                <w:szCs w:val="20"/>
                <w:color w:val="auto"/>
              </w:rPr>
            </w:pPr>
            <w:r>
              <w:rPr>
                <w:rFonts w:ascii="Times New Roman" w:cs="Times New Roman" w:eastAsia="Times New Roman" w:hAnsi="Times New Roman"/>
                <w:sz w:val="13"/>
                <w:szCs w:val="13"/>
                <w:color w:val="auto"/>
              </w:rPr>
              <w:t>For the Year Ended December 31,</w:t>
            </w:r>
          </w:p>
        </w:tc>
      </w:tr>
      <w:tr>
        <w:trPr>
          <w:trHeight w:val="125"/>
        </w:trPr>
        <w:tc>
          <w:tcPr>
            <w:tcW w:w="5000" w:type="dxa"/>
            <w:vAlign w:val="bottom"/>
          </w:tcPr>
          <w:p>
            <w:pPr>
              <w:spacing w:after="0"/>
              <w:rPr>
                <w:sz w:val="10"/>
                <w:szCs w:val="10"/>
                <w:color w:val="auto"/>
              </w:rPr>
            </w:pPr>
          </w:p>
        </w:tc>
        <w:tc>
          <w:tcPr>
            <w:tcW w:w="840" w:type="dxa"/>
            <w:vAlign w:val="bottom"/>
            <w:tcBorders>
              <w:top w:val="single" w:sz="8" w:color="auto"/>
              <w:bottom w:val="single" w:sz="8" w:color="auto"/>
            </w:tcBorders>
          </w:tcPr>
          <w:p>
            <w:pPr>
              <w:jc w:val="right"/>
              <w:ind w:right="223"/>
              <w:spacing w:after="0" w:line="125" w:lineRule="exact"/>
              <w:rPr>
                <w:sz w:val="20"/>
                <w:szCs w:val="20"/>
                <w:color w:val="auto"/>
              </w:rPr>
            </w:pPr>
            <w:r>
              <w:rPr>
                <w:rFonts w:ascii="Times New Roman" w:cs="Times New Roman" w:eastAsia="Times New Roman" w:hAnsi="Times New Roman"/>
                <w:sz w:val="13"/>
                <w:szCs w:val="13"/>
                <w:color w:val="auto"/>
              </w:rPr>
              <w:t>2020</w:t>
            </w: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bottom w:val="single" w:sz="8" w:color="auto"/>
            </w:tcBorders>
          </w:tcPr>
          <w:p>
            <w:pPr>
              <w:jc w:val="right"/>
              <w:ind w:right="282"/>
              <w:spacing w:after="0" w:line="125" w:lineRule="exact"/>
              <w:rPr>
                <w:sz w:val="20"/>
                <w:szCs w:val="20"/>
                <w:color w:val="auto"/>
              </w:rPr>
            </w:pPr>
            <w:r>
              <w:rPr>
                <w:rFonts w:ascii="Times New Roman" w:cs="Times New Roman" w:eastAsia="Times New Roman" w:hAnsi="Times New Roman"/>
                <w:sz w:val="13"/>
                <w:szCs w:val="13"/>
                <w:color w:val="auto"/>
              </w:rPr>
              <w:t>2021</w:t>
            </w: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bottom w:val="single" w:sz="8" w:color="auto"/>
            </w:tcBorders>
          </w:tcPr>
          <w:p>
            <w:pPr>
              <w:jc w:val="right"/>
              <w:ind w:right="282"/>
              <w:spacing w:after="0" w:line="125" w:lineRule="exact"/>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0"/>
                <w:szCs w:val="10"/>
                <w:color w:val="auto"/>
              </w:rPr>
            </w:pPr>
          </w:p>
        </w:tc>
      </w:tr>
      <w:tr>
        <w:trPr>
          <w:trHeight w:val="125"/>
        </w:trPr>
        <w:tc>
          <w:tcPr>
            <w:tcW w:w="5000" w:type="dxa"/>
            <w:vAlign w:val="bottom"/>
          </w:tcPr>
          <w:p>
            <w:pPr>
              <w:spacing w:after="0"/>
              <w:rPr>
                <w:sz w:val="10"/>
                <w:szCs w:val="10"/>
                <w:color w:val="auto"/>
              </w:rPr>
            </w:pPr>
          </w:p>
        </w:tc>
        <w:tc>
          <w:tcPr>
            <w:tcW w:w="840" w:type="dxa"/>
            <w:vAlign w:val="bottom"/>
          </w:tcPr>
          <w:p>
            <w:pPr>
              <w:jc w:val="right"/>
              <w:ind w:right="203"/>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80" w:type="dxa"/>
            <w:vAlign w:val="bottom"/>
          </w:tcPr>
          <w:p>
            <w:pPr>
              <w:spacing w:after="0"/>
              <w:rPr>
                <w:sz w:val="10"/>
                <w:szCs w:val="10"/>
                <w:color w:val="auto"/>
              </w:rPr>
            </w:pPr>
          </w:p>
        </w:tc>
        <w:tc>
          <w:tcPr>
            <w:tcW w:w="980" w:type="dxa"/>
            <w:vAlign w:val="bottom"/>
          </w:tcPr>
          <w:p>
            <w:pPr>
              <w:jc w:val="right"/>
              <w:ind w:right="262"/>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80" w:type="dxa"/>
            <w:vAlign w:val="bottom"/>
          </w:tcPr>
          <w:p>
            <w:pPr>
              <w:spacing w:after="0"/>
              <w:rPr>
                <w:sz w:val="10"/>
                <w:szCs w:val="10"/>
                <w:color w:val="auto"/>
              </w:rPr>
            </w:pPr>
          </w:p>
        </w:tc>
        <w:tc>
          <w:tcPr>
            <w:tcW w:w="980" w:type="dxa"/>
            <w:vAlign w:val="bottom"/>
          </w:tcPr>
          <w:p>
            <w:pPr>
              <w:jc w:val="right"/>
              <w:ind w:right="282"/>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00" w:type="dxa"/>
            <w:vAlign w:val="bottom"/>
          </w:tcPr>
          <w:p>
            <w:pPr>
              <w:spacing w:after="0"/>
              <w:rPr>
                <w:sz w:val="10"/>
                <w:szCs w:val="10"/>
                <w:color w:val="auto"/>
              </w:rPr>
            </w:pPr>
          </w:p>
        </w:tc>
      </w:tr>
      <w:tr>
        <w:trPr>
          <w:trHeight w:val="19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(18,292)</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(107,717)</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(33,740)</w:t>
            </w:r>
          </w:p>
        </w:tc>
      </w:tr>
      <w:tr>
        <w:trPr>
          <w:trHeight w:val="19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(2,553)</w:t>
            </w:r>
          </w:p>
        </w:tc>
      </w:tr>
      <w:tr>
        <w:trPr>
          <w:trHeight w:val="197"/>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common shares and redeemable preferred shares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(18,292)</w:t>
            </w:r>
          </w:p>
        </w:tc>
        <w:tc>
          <w:tcPr>
            <w:tcW w:w="18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(107,666)</w:t>
            </w:r>
          </w:p>
        </w:tc>
        <w:tc>
          <w:tcPr>
            <w:tcW w:w="18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(31,187)</w:t>
            </w:r>
          </w:p>
        </w:tc>
        <w:tc>
          <w:tcPr>
            <w:tcW w:w="100" w:type="dxa"/>
            <w:vAlign w:val="bottom"/>
          </w:tcPr>
          <w:p>
            <w:pPr>
              <w:spacing w:after="0"/>
              <w:rPr>
                <w:sz w:val="17"/>
                <w:szCs w:val="17"/>
                <w:color w:val="auto"/>
              </w:rPr>
            </w:pPr>
          </w:p>
        </w:tc>
      </w:tr>
      <w:tr>
        <w:trPr>
          <w:trHeight w:val="19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Redeemable preferred shares redemption value accretion</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(4,274)</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Allocation to redeemable preferred shareholders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8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common shareholders-Basic and diluted</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(21,492)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(107,666)</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(31,187)</w:t>
            </w:r>
          </w:p>
        </w:tc>
      </w:tr>
      <w:tr>
        <w:trPr>
          <w:trHeight w:val="197"/>
        </w:trPr>
        <w:tc>
          <w:tcPr>
            <w:tcW w:w="5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6"/>
        </w:trPr>
        <w:tc>
          <w:tcPr>
            <w:tcW w:w="50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Denominator for basic loss per share weighted-average common shares</w:t>
            </w: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9"/>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963,817,614</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1,021,861,206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1,021,958,881</w:t>
            </w:r>
          </w:p>
        </w:tc>
        <w:tc>
          <w:tcPr>
            <w:tcW w:w="100" w:type="dxa"/>
            <w:vAlign w:val="bottom"/>
            <w:shd w:val="clear" w:color="auto" w:fill="CCEEFF"/>
          </w:tcPr>
          <w:p>
            <w:pPr>
              <w:spacing w:after="0"/>
              <w:rPr>
                <w:sz w:val="18"/>
                <w:szCs w:val="18"/>
                <w:color w:val="auto"/>
              </w:rPr>
            </w:pPr>
          </w:p>
        </w:tc>
      </w:tr>
      <w:tr>
        <w:trPr>
          <w:trHeight w:val="19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Dilutive effect of restricted shares</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Dilutive effect of share options</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76"/>
        </w:trPr>
        <w:tc>
          <w:tcPr>
            <w:tcW w:w="50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Denominator for diluted loss per share weighted-average common shares</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963,817,614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1,021,861,206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1,021,958,881</w:t>
            </w:r>
          </w:p>
        </w:tc>
        <w:tc>
          <w:tcPr>
            <w:tcW w:w="100" w:type="dxa"/>
            <w:vAlign w:val="bottom"/>
          </w:tcPr>
          <w:p>
            <w:pPr>
              <w:spacing w:after="0"/>
              <w:rPr>
                <w:sz w:val="18"/>
                <w:szCs w:val="18"/>
                <w:color w:val="auto"/>
              </w:rPr>
            </w:pPr>
          </w:p>
        </w:tc>
      </w:tr>
      <w:tr>
        <w:trPr>
          <w:trHeight w:val="19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loss per share</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(0.11)</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(0.03)</w:t>
            </w:r>
          </w:p>
        </w:tc>
      </w:tr>
      <w:tr>
        <w:trPr>
          <w:trHeight w:val="325"/>
        </w:trPr>
        <w:tc>
          <w:tcPr>
            <w:tcW w:w="5000" w:type="dxa"/>
            <w:vAlign w:val="bottom"/>
          </w:tcPr>
          <w:p>
            <w:pPr>
              <w:ind w:left="3980"/>
              <w:spacing w:after="0"/>
              <w:rPr>
                <w:sz w:val="20"/>
                <w:szCs w:val="20"/>
                <w:color w:val="auto"/>
              </w:rPr>
            </w:pPr>
            <w:r>
              <w:rPr>
                <w:rFonts w:ascii="Times New Roman" w:cs="Times New Roman" w:eastAsia="Times New Roman" w:hAnsi="Times New Roman"/>
                <w:sz w:val="16"/>
                <w:szCs w:val="16"/>
                <w:color w:val="auto"/>
              </w:rPr>
              <w:t>F-60</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440"/>
          </w:cols>
          <w:pgMar w:left="320" w:top="447" w:right="11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22. Net loss per share (Continued)</w:t>
      </w:r>
    </w:p>
    <w:p>
      <w:pPr>
        <w:spacing w:after="0" w:line="143" w:lineRule="exact"/>
        <w:rPr>
          <w:sz w:val="20"/>
          <w:szCs w:val="20"/>
          <w:color w:val="auto"/>
        </w:rPr>
      </w:pPr>
    </w:p>
    <w:p>
      <w:pPr>
        <w:ind w:left="700" w:right="40" w:firstLine="393"/>
        <w:spacing w:after="0" w:line="262" w:lineRule="auto"/>
        <w:rPr>
          <w:sz w:val="20"/>
          <w:szCs w:val="20"/>
          <w:color w:val="auto"/>
        </w:rPr>
      </w:pPr>
      <w:r>
        <w:rPr>
          <w:rFonts w:ascii="Times New Roman" w:cs="Times New Roman" w:eastAsia="Times New Roman" w:hAnsi="Times New Roman"/>
          <w:sz w:val="16"/>
          <w:szCs w:val="16"/>
          <w:color w:val="auto"/>
        </w:rPr>
        <w:t>The potentially dilutive securities that were not included in the calculation of above dilutive net loss per share in the years presented where their inclusion would be anti-diluted include restricted shares of 1,789,534 shares, 4,054,623 shares and 11,273,390 shares for the years ended December 31, 2020, 2021 and 2022, respectively, and share options of 4,114,655 shares, nil and 20,246,077 shares for the years ended December 31, 2020, 2021 and 2022 on a weighted average basis, respectively.</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23.Lease</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following table presents balances reported in the consolidated balance sheets related to the Group’s leases:</w:t>
      </w: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4800" w:type="dxa"/>
            <w:vAlign w:val="bottom"/>
          </w:tcPr>
          <w:p>
            <w:pPr>
              <w:spacing w:after="0"/>
              <w:rPr>
                <w:sz w:val="12"/>
                <w:szCs w:val="12"/>
                <w:color w:val="auto"/>
              </w:rPr>
            </w:pPr>
          </w:p>
        </w:tc>
        <w:tc>
          <w:tcPr>
            <w:tcW w:w="1620" w:type="dxa"/>
            <w:vAlign w:val="bottom"/>
            <w:gridSpan w:val="2"/>
          </w:tcPr>
          <w:p>
            <w:pPr>
              <w:jc w:val="right"/>
              <w:ind w:right="980"/>
              <w:spacing w:after="0"/>
              <w:rPr>
                <w:sz w:val="20"/>
                <w:szCs w:val="20"/>
                <w:color w:val="auto"/>
              </w:rPr>
            </w:pPr>
            <w:r>
              <w:rPr>
                <w:rFonts w:ascii="Times New Roman" w:cs="Times New Roman" w:eastAsia="Times New Roman" w:hAnsi="Times New Roman"/>
                <w:sz w:val="13"/>
                <w:szCs w:val="13"/>
                <w:color w:val="auto"/>
              </w:rPr>
              <w:t>As of</w:t>
            </w: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As of</w:t>
            </w:r>
          </w:p>
        </w:tc>
      </w:tr>
      <w:tr>
        <w:trPr>
          <w:trHeight w:val="153"/>
        </w:trPr>
        <w:tc>
          <w:tcPr>
            <w:tcW w:w="4800" w:type="dxa"/>
            <w:vAlign w:val="bottom"/>
          </w:tcPr>
          <w:p>
            <w:pPr>
              <w:spacing w:after="0"/>
              <w:rPr>
                <w:sz w:val="13"/>
                <w:szCs w:val="13"/>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color w:val="auto"/>
                <w:w w:val="95"/>
              </w:rPr>
              <w:t>December 31, 2021</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5"/>
              </w:rPr>
              <w:t>December 31, 2022</w:t>
            </w:r>
          </w:p>
        </w:tc>
      </w:tr>
      <w:tr>
        <w:trPr>
          <w:trHeight w:val="125"/>
        </w:trPr>
        <w:tc>
          <w:tcPr>
            <w:tcW w:w="4800" w:type="dxa"/>
            <w:vAlign w:val="bottom"/>
          </w:tcPr>
          <w:p>
            <w:pPr>
              <w:spacing w:after="0"/>
              <w:rPr>
                <w:sz w:val="10"/>
                <w:szCs w:val="10"/>
                <w:color w:val="auto"/>
              </w:rPr>
            </w:pPr>
          </w:p>
        </w:tc>
        <w:tc>
          <w:tcPr>
            <w:tcW w:w="1000" w:type="dxa"/>
            <w:vAlign w:val="bottom"/>
            <w:tcBorders>
              <w:top w:val="single" w:sz="8" w:color="auto"/>
            </w:tcBorders>
          </w:tcPr>
          <w:p>
            <w:pPr>
              <w:jc w:val="right"/>
              <w:ind w:right="289"/>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620" w:type="dxa"/>
            <w:vAlign w:val="bottom"/>
          </w:tcPr>
          <w:p>
            <w:pPr>
              <w:spacing w:after="0"/>
              <w:rPr>
                <w:sz w:val="10"/>
                <w:szCs w:val="10"/>
                <w:color w:val="auto"/>
              </w:rPr>
            </w:pPr>
          </w:p>
        </w:tc>
        <w:tc>
          <w:tcPr>
            <w:tcW w:w="1020" w:type="dxa"/>
            <w:vAlign w:val="bottom"/>
            <w:tcBorders>
              <w:top w:val="single" w:sz="8" w:color="auto"/>
            </w:tcBorders>
          </w:tcPr>
          <w:p>
            <w:pPr>
              <w:ind w:left="360"/>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40" w:type="dxa"/>
            <w:vAlign w:val="bottom"/>
          </w:tcPr>
          <w:p>
            <w:pPr>
              <w:spacing w:after="0"/>
              <w:rPr>
                <w:sz w:val="10"/>
                <w:szCs w:val="10"/>
                <w:color w:val="auto"/>
              </w:rPr>
            </w:pPr>
          </w:p>
        </w:tc>
      </w:tr>
      <w:tr>
        <w:trPr>
          <w:trHeight w:val="19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247,819</w:t>
            </w: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162,180</w:t>
            </w:r>
          </w:p>
        </w:tc>
      </w:tr>
      <w:tr>
        <w:trPr>
          <w:trHeight w:val="209"/>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264,069</w:t>
            </w:r>
          </w:p>
        </w:tc>
        <w:tc>
          <w:tcPr>
            <w:tcW w:w="6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186,107</w:t>
            </w:r>
          </w:p>
        </w:tc>
      </w:tr>
    </w:tbl>
    <w:p>
      <w:pPr>
        <w:spacing w:after="0" w:line="160"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Lease expenses for these leases are recognized on a straight-line basis over the lease term. For short-term leases over which the Group has elected not to apply the recognition requirements of ASC 842, the Group has recognized the lease payments as expenses on a straight-line basis over the lease term. For the year ended December 31, 2020, total rental expenses under all operating leases were RMB6,941. For the years ended December 31, 2021 and 2022, total lease cost comprised of the following:</w:t>
      </w:r>
    </w:p>
    <w:p>
      <w:pPr>
        <w:spacing w:after="0" w:line="181"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5540" w:type="dxa"/>
            <w:vAlign w:val="bottom"/>
          </w:tcPr>
          <w:p>
            <w:pPr>
              <w:spacing w:after="0"/>
              <w:rPr>
                <w:sz w:val="13"/>
                <w:szCs w:val="13"/>
                <w:color w:val="auto"/>
              </w:rPr>
            </w:pPr>
          </w:p>
        </w:tc>
        <w:tc>
          <w:tcPr>
            <w:tcW w:w="19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For the Year Ended December 31,</w:t>
            </w:r>
          </w:p>
        </w:tc>
      </w:tr>
      <w:tr>
        <w:trPr>
          <w:trHeight w:val="125"/>
        </w:trPr>
        <w:tc>
          <w:tcPr>
            <w:tcW w:w="554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ind w:right="188"/>
              <w:spacing w:after="0" w:line="125" w:lineRule="exact"/>
              <w:rPr>
                <w:sz w:val="20"/>
                <w:szCs w:val="20"/>
                <w:color w:val="auto"/>
              </w:rPr>
            </w:pPr>
            <w:r>
              <w:rPr>
                <w:rFonts w:ascii="Times New Roman" w:cs="Times New Roman" w:eastAsia="Times New Roman" w:hAnsi="Times New Roman"/>
                <w:sz w:val="13"/>
                <w:szCs w:val="13"/>
                <w:color w:val="auto"/>
              </w:rPr>
              <w:t>2021</w:t>
            </w:r>
          </w:p>
        </w:tc>
        <w:tc>
          <w:tcPr>
            <w:tcW w:w="340" w:type="dxa"/>
            <w:vAlign w:val="bottom"/>
            <w:tcBorders>
              <w:top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06"/>
              <w:spacing w:after="0" w:line="125" w:lineRule="exact"/>
              <w:rPr>
                <w:sz w:val="20"/>
                <w:szCs w:val="20"/>
                <w:color w:val="auto"/>
              </w:rPr>
            </w:pPr>
            <w:r>
              <w:rPr>
                <w:rFonts w:ascii="Times New Roman" w:cs="Times New Roman" w:eastAsia="Times New Roman" w:hAnsi="Times New Roman"/>
                <w:sz w:val="13"/>
                <w:szCs w:val="13"/>
                <w:color w:val="auto"/>
              </w:rPr>
              <w:t>2022</w:t>
            </w:r>
          </w:p>
        </w:tc>
        <w:tc>
          <w:tcPr>
            <w:tcW w:w="40" w:type="dxa"/>
            <w:vAlign w:val="bottom"/>
          </w:tcPr>
          <w:p>
            <w:pPr>
              <w:spacing w:after="0"/>
              <w:rPr>
                <w:sz w:val="10"/>
                <w:szCs w:val="10"/>
                <w:color w:val="auto"/>
              </w:rPr>
            </w:pPr>
          </w:p>
        </w:tc>
      </w:tr>
      <w:tr>
        <w:trPr>
          <w:trHeight w:val="125"/>
        </w:trPr>
        <w:tc>
          <w:tcPr>
            <w:tcW w:w="5540" w:type="dxa"/>
            <w:vAlign w:val="bottom"/>
          </w:tcPr>
          <w:p>
            <w:pPr>
              <w:spacing w:after="0"/>
              <w:rPr>
                <w:sz w:val="10"/>
                <w:szCs w:val="10"/>
                <w:color w:val="auto"/>
              </w:rPr>
            </w:pPr>
          </w:p>
        </w:tc>
        <w:tc>
          <w:tcPr>
            <w:tcW w:w="760" w:type="dxa"/>
            <w:vAlign w:val="bottom"/>
          </w:tcPr>
          <w:p>
            <w:pPr>
              <w:jc w:val="right"/>
              <w:ind w:right="168"/>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340" w:type="dxa"/>
            <w:vAlign w:val="bottom"/>
          </w:tcPr>
          <w:p>
            <w:pPr>
              <w:spacing w:after="0"/>
              <w:rPr>
                <w:sz w:val="10"/>
                <w:szCs w:val="10"/>
                <w:color w:val="auto"/>
              </w:rPr>
            </w:pPr>
          </w:p>
        </w:tc>
        <w:tc>
          <w:tcPr>
            <w:tcW w:w="800" w:type="dxa"/>
            <w:vAlign w:val="bottom"/>
          </w:tcPr>
          <w:p>
            <w:pPr>
              <w:jc w:val="right"/>
              <w:ind w:right="186"/>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40" w:type="dxa"/>
            <w:vAlign w:val="bottom"/>
          </w:tcPr>
          <w:p>
            <w:pPr>
              <w:spacing w:after="0"/>
              <w:rPr>
                <w:sz w:val="10"/>
                <w:szCs w:val="10"/>
                <w:color w:val="auto"/>
              </w:rPr>
            </w:pPr>
          </w:p>
        </w:tc>
      </w:tr>
      <w:tr>
        <w:trPr>
          <w:trHeight w:val="19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46,102</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39,476</w:t>
            </w:r>
          </w:p>
        </w:tc>
      </w:tr>
      <w:tr>
        <w:trPr>
          <w:trHeight w:val="197"/>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Short term lease cost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3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40" w:type="dxa"/>
            <w:vAlign w:val="bottom"/>
          </w:tcPr>
          <w:p>
            <w:pPr>
              <w:spacing w:after="0"/>
              <w:rPr>
                <w:sz w:val="17"/>
                <w:szCs w:val="17"/>
                <w:color w:val="auto"/>
              </w:rPr>
            </w:pPr>
          </w:p>
        </w:tc>
      </w:tr>
      <w:tr>
        <w:trPr>
          <w:trHeight w:val="19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46,487</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41,200</w:t>
            </w:r>
          </w:p>
        </w:tc>
      </w:tr>
      <w:tr>
        <w:trPr>
          <w:trHeight w:val="20"/>
        </w:trPr>
        <w:tc>
          <w:tcPr>
            <w:tcW w:w="5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following table presents the maturity of the Group’s operating lease liabilities as of December 31, 2022:</w:t>
      </w:r>
    </w:p>
    <w:p>
      <w:pPr>
        <w:spacing w:after="0" w:line="205" w:lineRule="exact"/>
        <w:rPr>
          <w:sz w:val="20"/>
          <w:szCs w:val="20"/>
          <w:color w:val="auto"/>
        </w:rPr>
      </w:pPr>
    </w:p>
    <w:tbl>
      <w:tblPr>
        <w:tblLayout w:type="fixed"/>
        <w:tblInd w:w="22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As of</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December 31, 2022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0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6"/>
              </w:rPr>
              <w:t>RMB</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19,100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26,084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26,559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28,201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29,755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99,792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lease payments (undiscounted)</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229,491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(43,384)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lease liabilities (discounted)</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186,107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As of December 31, 2022, the Group has no significant lease contract that has been entered into but not yet commenced.</w:t>
      </w:r>
    </w:p>
    <w:p>
      <w:pPr>
        <w:spacing w:after="0" w:line="1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F-61</w:t>
      </w:r>
    </w:p>
    <w:p>
      <w:pPr>
        <w:sectPr>
          <w:pgSz w:w="11900" w:h="16838" w:orient="portrait"/>
          <w:cols w:equalWidth="0" w:num="1">
            <w:col w:w="10480"/>
          </w:cols>
          <w:pgMar w:left="320" w:top="447" w:right="10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23. Lease (Continued)</w:t>
      </w:r>
    </w:p>
    <w:p>
      <w:pPr>
        <w:spacing w:after="0" w:line="1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Supplemental cash flow information related to the operating leases was as follow:</w:t>
      </w:r>
    </w:p>
    <w:p>
      <w:pPr>
        <w:spacing w:after="0" w:line="222"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5540" w:type="dxa"/>
            <w:vAlign w:val="bottom"/>
          </w:tcPr>
          <w:p>
            <w:pPr>
              <w:spacing w:after="0"/>
              <w:rPr>
                <w:sz w:val="13"/>
                <w:szCs w:val="13"/>
                <w:color w:val="auto"/>
              </w:rPr>
            </w:pPr>
          </w:p>
        </w:tc>
        <w:tc>
          <w:tcPr>
            <w:tcW w:w="19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For the Year Ended December 31,</w:t>
            </w:r>
          </w:p>
        </w:tc>
      </w:tr>
      <w:tr>
        <w:trPr>
          <w:trHeight w:val="125"/>
        </w:trPr>
        <w:tc>
          <w:tcPr>
            <w:tcW w:w="5540" w:type="dxa"/>
            <w:vAlign w:val="bottom"/>
          </w:tcPr>
          <w:p>
            <w:pPr>
              <w:spacing w:after="0"/>
              <w:rPr>
                <w:sz w:val="10"/>
                <w:szCs w:val="10"/>
                <w:color w:val="auto"/>
              </w:rPr>
            </w:pPr>
          </w:p>
        </w:tc>
        <w:tc>
          <w:tcPr>
            <w:tcW w:w="760" w:type="dxa"/>
            <w:vAlign w:val="bottom"/>
            <w:tcBorders>
              <w:top w:val="single" w:sz="8" w:color="auto"/>
              <w:bottom w:val="single" w:sz="8" w:color="auto"/>
            </w:tcBorders>
          </w:tcPr>
          <w:p>
            <w:pPr>
              <w:ind w:left="260"/>
              <w:spacing w:after="0" w:line="125" w:lineRule="exact"/>
              <w:rPr>
                <w:sz w:val="20"/>
                <w:szCs w:val="20"/>
                <w:color w:val="auto"/>
              </w:rPr>
            </w:pPr>
            <w:r>
              <w:rPr>
                <w:rFonts w:ascii="Times New Roman" w:cs="Times New Roman" w:eastAsia="Times New Roman" w:hAnsi="Times New Roman"/>
                <w:sz w:val="13"/>
                <w:szCs w:val="13"/>
                <w:color w:val="auto"/>
              </w:rPr>
              <w:t>2021</w:t>
            </w:r>
          </w:p>
        </w:tc>
        <w:tc>
          <w:tcPr>
            <w:tcW w:w="340" w:type="dxa"/>
            <w:vAlign w:val="bottom"/>
            <w:tcBorders>
              <w:top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ind w:left="280"/>
              <w:spacing w:after="0" w:line="125" w:lineRule="exact"/>
              <w:rPr>
                <w:sz w:val="20"/>
                <w:szCs w:val="20"/>
                <w:color w:val="auto"/>
              </w:rPr>
            </w:pPr>
            <w:r>
              <w:rPr>
                <w:rFonts w:ascii="Times New Roman" w:cs="Times New Roman" w:eastAsia="Times New Roman" w:hAnsi="Times New Roman"/>
                <w:sz w:val="13"/>
                <w:szCs w:val="13"/>
                <w:color w:val="auto"/>
              </w:rPr>
              <w:t>2022</w:t>
            </w:r>
          </w:p>
        </w:tc>
        <w:tc>
          <w:tcPr>
            <w:tcW w:w="40" w:type="dxa"/>
            <w:vAlign w:val="bottom"/>
          </w:tcPr>
          <w:p>
            <w:pPr>
              <w:spacing w:after="0"/>
              <w:rPr>
                <w:sz w:val="10"/>
                <w:szCs w:val="10"/>
                <w:color w:val="auto"/>
              </w:rPr>
            </w:pPr>
          </w:p>
        </w:tc>
      </w:tr>
      <w:tr>
        <w:trPr>
          <w:trHeight w:val="125"/>
        </w:trPr>
        <w:tc>
          <w:tcPr>
            <w:tcW w:w="5540" w:type="dxa"/>
            <w:vAlign w:val="bottom"/>
          </w:tcPr>
          <w:p>
            <w:pPr>
              <w:spacing w:after="0"/>
              <w:rPr>
                <w:sz w:val="10"/>
                <w:szCs w:val="10"/>
                <w:color w:val="auto"/>
              </w:rPr>
            </w:pPr>
          </w:p>
        </w:tc>
        <w:tc>
          <w:tcPr>
            <w:tcW w:w="760" w:type="dxa"/>
            <w:vAlign w:val="bottom"/>
          </w:tcPr>
          <w:p>
            <w:pPr>
              <w:ind w:left="240"/>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340" w:type="dxa"/>
            <w:vAlign w:val="bottom"/>
          </w:tcPr>
          <w:p>
            <w:pPr>
              <w:spacing w:after="0"/>
              <w:rPr>
                <w:sz w:val="10"/>
                <w:szCs w:val="10"/>
                <w:color w:val="auto"/>
              </w:rPr>
            </w:pPr>
          </w:p>
        </w:tc>
        <w:tc>
          <w:tcPr>
            <w:tcW w:w="800" w:type="dxa"/>
            <w:vAlign w:val="bottom"/>
          </w:tcPr>
          <w:p>
            <w:pPr>
              <w:ind w:left="260"/>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40" w:type="dxa"/>
            <w:vAlign w:val="bottom"/>
          </w:tcPr>
          <w:p>
            <w:pPr>
              <w:spacing w:after="0"/>
              <w:rPr>
                <w:sz w:val="10"/>
                <w:szCs w:val="10"/>
                <w:color w:val="auto"/>
              </w:rPr>
            </w:pPr>
          </w:p>
        </w:tc>
      </w:tr>
      <w:tr>
        <w:trPr>
          <w:trHeight w:val="19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operating lease liabilities</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27,360</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24,554</w:t>
            </w:r>
          </w:p>
        </w:tc>
      </w:tr>
      <w:tr>
        <w:trPr>
          <w:trHeight w:val="20"/>
        </w:trPr>
        <w:tc>
          <w:tcPr>
            <w:tcW w:w="5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right="100" w:firstLine="393"/>
        <w:spacing w:after="0" w:line="262" w:lineRule="auto"/>
        <w:rPr>
          <w:sz w:val="20"/>
          <w:szCs w:val="20"/>
          <w:color w:val="auto"/>
        </w:rPr>
      </w:pPr>
      <w:r>
        <w:rPr>
          <w:rFonts w:ascii="Times New Roman" w:cs="Times New Roman" w:eastAsia="Times New Roman" w:hAnsi="Times New Roman"/>
          <w:sz w:val="16"/>
          <w:szCs w:val="16"/>
          <w:color w:val="auto"/>
        </w:rPr>
        <w:t>Pursuant to the lease agreements dated in March and August 2022, the Group’s certain leased space was decreased, which led to terminations and partial terminations of the lease contracts. The difference between the decrease in the carrying amount of the lease liabilities and the proportionate decrease in the carrying amount of the right-of-use assets was recorded as others, net of RMB7,215 in consolidated statements of comprehensive income/(loss). The decrease of lease liabilities constituted a non-cash financing activity.</w:t>
      </w: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24. Commitments and contingencies</w:t>
      </w:r>
    </w:p>
    <w:p>
      <w:pPr>
        <w:spacing w:after="0" w:line="1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Group had investment commitments of RMB55,546 as of December 31, 2021 and RMB11,000 as of December 31, 2022.</w:t>
      </w:r>
    </w:p>
    <w:p>
      <w:pPr>
        <w:spacing w:after="0" w:line="2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25. Restricted net asset</w:t>
      </w:r>
    </w:p>
    <w:p>
      <w:pPr>
        <w:spacing w:after="0" w:line="107" w:lineRule="exact"/>
        <w:rPr>
          <w:sz w:val="20"/>
          <w:szCs w:val="20"/>
          <w:color w:val="auto"/>
        </w:rPr>
      </w:pPr>
    </w:p>
    <w:p>
      <w:pPr>
        <w:ind w:left="700" w:right="80" w:firstLine="393"/>
        <w:spacing w:after="0" w:line="253" w:lineRule="auto"/>
        <w:rPr>
          <w:sz w:val="20"/>
          <w:szCs w:val="20"/>
          <w:color w:val="auto"/>
        </w:rPr>
      </w:pPr>
      <w:r>
        <w:rPr>
          <w:rFonts w:ascii="Times New Roman" w:cs="Times New Roman" w:eastAsia="Times New Roman" w:hAnsi="Times New Roman"/>
          <w:sz w:val="16"/>
          <w:szCs w:val="16"/>
          <w:color w:val="auto"/>
        </w:rPr>
        <w:t>Relevant PRC laws and regulations permit payments of dividends by the Group’s entities incorporated in the PRC only out of their retained earnings, if any, as determined in accordance with PRC accounting standards and regulations. In addition, the Company’s entities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Company’s entities incorporated in the PRC are restricted in their ability to transfer a portion of their net assets to the Company either in the form of dividends, loans or advances.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its shareholders. In addition, restricted cash and insurance premium receivables of the VIE and its subsidiaries can only be used to settle relevant obligations of the VIE and its subsidiaries. Except for the above, there is no other restriction on use of proceeds generated by the Group’s subsidiaries and VIE to satisfy any obligations of the Company. As of December 31, 2022, the restricted net assets of the Group’s relevant PRC entities amounted to RMB262,124. Furthermore, cash transfers from the Company’s PRC subsidiaries to their parent companies outside of China are subject to PRC government control of currency conversion. Shortages in the availability of foreign currency may restrict the ability of the PRC subsidiaries and consolidated affiliated entities to remit sufficient foreign currency to pay dividends or other payments to the Company, or otherwise satisfy their foreign currency denominated obligations.</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26. Parent company only condensed financial information</w:t>
      </w:r>
    </w:p>
    <w:p>
      <w:pPr>
        <w:spacing w:after="0" w:line="107" w:lineRule="exact"/>
        <w:rPr>
          <w:sz w:val="20"/>
          <w:szCs w:val="20"/>
          <w:color w:val="auto"/>
        </w:rPr>
      </w:pPr>
    </w:p>
    <w:p>
      <w:pPr>
        <w:jc w:val="both"/>
        <w:ind w:left="700" w:right="20" w:firstLine="393"/>
        <w:spacing w:after="0" w:line="267" w:lineRule="auto"/>
        <w:rPr>
          <w:sz w:val="20"/>
          <w:szCs w:val="20"/>
          <w:color w:val="auto"/>
        </w:rPr>
      </w:pPr>
      <w:r>
        <w:rPr>
          <w:rFonts w:ascii="Times New Roman" w:cs="Times New Roman" w:eastAsia="Times New Roman" w:hAnsi="Times New Roman"/>
          <w:sz w:val="16"/>
          <w:szCs w:val="16"/>
          <w:color w:val="auto"/>
        </w:rPr>
        <w:t>The condensed financial information of the Company has been prepared in accordance with SEC Regulation S-X Rule 5-04 and Rule 12-04, using the same accounting policies as set out in the Group’s consolidated financial statements, except that the Company uses the equity method to account for investments in its subsidiaries and VIE.</w:t>
      </w:r>
    </w:p>
    <w:p>
      <w:pPr>
        <w:spacing w:after="0" w:line="157"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The subsidiaries did not pay any dividend to the Company for the years presented. Certain information and footnote disclosures generally included in financial statements prepared in accordance with U.S. GAAP have been condensed and omitted. The footnote disclosures contain supplemental information relating to the operations of the Company, as such, these statements are not the general- purpose financial statements of the reporting entity and should be read in conjunction with the notes to the consolidated financial statements of the Company.</w:t>
      </w:r>
    </w:p>
    <w:p>
      <w:pPr>
        <w:spacing w:after="0" w:line="161" w:lineRule="exact"/>
        <w:rPr>
          <w:sz w:val="20"/>
          <w:szCs w:val="20"/>
          <w:color w:val="auto"/>
        </w:rPr>
      </w:pPr>
    </w:p>
    <w:p>
      <w:pPr>
        <w:ind w:left="700" w:right="240" w:firstLine="393"/>
        <w:spacing w:after="0" w:line="284" w:lineRule="auto"/>
        <w:rPr>
          <w:sz w:val="20"/>
          <w:szCs w:val="20"/>
          <w:color w:val="auto"/>
        </w:rPr>
      </w:pPr>
      <w:r>
        <w:rPr>
          <w:rFonts w:ascii="Times New Roman" w:cs="Times New Roman" w:eastAsia="Times New Roman" w:hAnsi="Times New Roman"/>
          <w:sz w:val="16"/>
          <w:szCs w:val="16"/>
          <w:color w:val="auto"/>
        </w:rPr>
        <w:t>The Company did not have significant capital and other commitments or guarantees as of December 31, 2022. The subsidiaries did not pay any dividend to the Company for the years presented.</w:t>
      </w:r>
    </w:p>
    <w:p>
      <w:pPr>
        <w:spacing w:after="0" w:line="143" w:lineRule="exact"/>
        <w:rPr>
          <w:sz w:val="20"/>
          <w:szCs w:val="20"/>
          <w:color w:val="auto"/>
        </w:rPr>
      </w:pPr>
    </w:p>
    <w:p>
      <w:pPr>
        <w:ind w:left="700" w:firstLine="393"/>
        <w:spacing w:after="0" w:line="262" w:lineRule="auto"/>
        <w:rPr>
          <w:sz w:val="20"/>
          <w:szCs w:val="20"/>
          <w:color w:val="auto"/>
        </w:rPr>
      </w:pPr>
      <w:r>
        <w:rPr>
          <w:rFonts w:ascii="Times New Roman" w:cs="Times New Roman" w:eastAsia="Times New Roman" w:hAnsi="Times New Roman"/>
          <w:sz w:val="16"/>
          <w:szCs w:val="16"/>
          <w:color w:val="auto"/>
        </w:rPr>
        <w:t>The Condensed Financial Information of the Parent Company for the year ended December 31, 2020 has been revised to correct an immaterial error related to presentation of cash flows of amount due from subsidiary. Such cash flow was previously presented in error as cash flows from operating activities of the Parent Company and has been revised to cash flows from investing activities of the Parent Company. The impact of the above presentation error was not material to the previously issued financial statements taken as a whole.</w:t>
      </w:r>
    </w:p>
    <w:p>
      <w:pPr>
        <w:spacing w:after="0" w:line="10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F-62</w:t>
      </w:r>
    </w:p>
    <w:p>
      <w:pPr>
        <w:sectPr>
          <w:pgSz w:w="11900" w:h="16838" w:orient="portrait"/>
          <w:cols w:equalWidth="0" w:num="1">
            <w:col w:w="10540"/>
          </w:cols>
          <w:pgMar w:left="320" w:top="447" w:right="10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26. Parent company only condensed financial information (continued)</w:t>
      </w:r>
    </w:p>
    <w:p>
      <w:pPr>
        <w:spacing w:after="0" w:line="14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Balance sheet</w:t>
      </w:r>
    </w:p>
    <w:p>
      <w:pPr>
        <w:spacing w:after="0" w:line="224" w:lineRule="exact"/>
        <w:rPr>
          <w:sz w:val="20"/>
          <w:szCs w:val="20"/>
          <w:color w:val="auto"/>
        </w:rPr>
      </w:pPr>
    </w:p>
    <w:tbl>
      <w:tblPr>
        <w:tblLayout w:type="fixed"/>
        <w:tblInd w:w="15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6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3"/>
                <w:szCs w:val="13"/>
                <w:color w:val="auto"/>
              </w:rPr>
              <w:t>As of December 31,</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640" w:type="dxa"/>
            <w:vAlign w:val="bottom"/>
            <w:tcBorders>
              <w:bottom w:val="single" w:sz="8" w:color="auto"/>
            </w:tcBorders>
          </w:tcPr>
          <w:p>
            <w:pPr>
              <w:jc w:val="right"/>
              <w:ind w:right="122"/>
              <w:spacing w:after="0" w:line="125" w:lineRule="exact"/>
              <w:rPr>
                <w:sz w:val="20"/>
                <w:szCs w:val="20"/>
                <w:color w:val="auto"/>
              </w:rPr>
            </w:pPr>
            <w:r>
              <w:rPr>
                <w:rFonts w:ascii="Times New Roman" w:cs="Times New Roman" w:eastAsia="Times New Roman" w:hAnsi="Times New Roman"/>
                <w:sz w:val="13"/>
                <w:szCs w:val="13"/>
                <w:color w:val="auto"/>
              </w:rPr>
              <w:t>2021</w:t>
            </w:r>
          </w:p>
        </w:tc>
        <w:tc>
          <w:tcPr>
            <w:tcW w:w="180" w:type="dxa"/>
            <w:vAlign w:val="bottom"/>
          </w:tcPr>
          <w:p>
            <w:pPr>
              <w:spacing w:after="0"/>
              <w:rPr>
                <w:sz w:val="10"/>
                <w:szCs w:val="10"/>
                <w:color w:val="auto"/>
              </w:rPr>
            </w:pPr>
          </w:p>
        </w:tc>
        <w:tc>
          <w:tcPr>
            <w:tcW w:w="820" w:type="dxa"/>
            <w:vAlign w:val="bottom"/>
            <w:tcBorders>
              <w:bottom w:val="single" w:sz="8" w:color="auto"/>
            </w:tcBorders>
            <w:gridSpan w:val="3"/>
          </w:tcPr>
          <w:p>
            <w:pPr>
              <w:jc w:val="right"/>
              <w:spacing w:after="0" w:line="125" w:lineRule="exact"/>
              <w:rPr>
                <w:sz w:val="20"/>
                <w:szCs w:val="20"/>
                <w:color w:val="auto"/>
              </w:rPr>
            </w:pPr>
            <w:r>
              <w:rPr>
                <w:rFonts w:ascii="Times New Roman" w:cs="Times New Roman" w:eastAsia="Times New Roman" w:hAnsi="Times New Roman"/>
                <w:sz w:val="13"/>
                <w:szCs w:val="13"/>
                <w:color w:val="auto"/>
              </w:rPr>
              <w:t>2022</w:t>
            </w: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8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3"/>
                <w:szCs w:val="13"/>
                <w:color w:val="auto"/>
              </w:rPr>
              <w:t>RMB</w:t>
            </w:r>
          </w:p>
        </w:tc>
        <w:tc>
          <w:tcPr>
            <w:tcW w:w="8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3"/>
                <w:szCs w:val="13"/>
                <w:color w:val="auto"/>
              </w:rPr>
              <w:t>RMB</w:t>
            </w:r>
          </w:p>
        </w:tc>
        <w:tc>
          <w:tcPr>
            <w:tcW w:w="560" w:type="dxa"/>
            <w:vAlign w:val="bottom"/>
          </w:tcPr>
          <w:p>
            <w:pPr>
              <w:jc w:val="right"/>
              <w:ind w:right="62"/>
              <w:spacing w:after="0" w:line="105" w:lineRule="exact"/>
              <w:rPr>
                <w:sz w:val="20"/>
                <w:szCs w:val="20"/>
                <w:color w:val="auto"/>
              </w:rPr>
            </w:pPr>
            <w:r>
              <w:rPr>
                <w:rFonts w:ascii="Times New Roman" w:cs="Times New Roman" w:eastAsia="Times New Roman" w:hAnsi="Times New Roman"/>
                <w:sz w:val="12"/>
                <w:szCs w:val="12"/>
                <w:color w:val="auto"/>
              </w:rPr>
              <w:t>USD$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9"/>
              </w:rPr>
              <w:t>Note 2(f)</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Cash and cash equivalent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16,291</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Amount due from related parties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 and other receivables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291,666</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316,172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Long-term investments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76,030</w:t>
            </w:r>
          </w:p>
        </w:tc>
        <w:tc>
          <w:tcPr>
            <w:tcW w:w="18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44,307</w:t>
            </w:r>
          </w:p>
        </w:tc>
        <w:tc>
          <w:tcPr>
            <w:tcW w:w="1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384,093</w:t>
            </w:r>
          </w:p>
        </w:tc>
        <w:tc>
          <w:tcPr>
            <w:tcW w:w="18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366,241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9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17,892</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Contract liabilities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Payroll and welfare payable</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8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4,138</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24,029</w:t>
            </w:r>
          </w:p>
        </w:tc>
        <w:tc>
          <w:tcPr>
            <w:tcW w:w="18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25,362</w:t>
            </w:r>
          </w:p>
        </w:tc>
        <w:tc>
          <w:tcPr>
            <w:tcW w:w="1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96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40" w:type="dxa"/>
            <w:vAlign w:val="bottom"/>
            <w:shd w:val="clear" w:color="auto" w:fill="CCEEFF"/>
          </w:tcPr>
          <w:p>
            <w:pPr>
              <w:ind w:left="300"/>
              <w:spacing w:after="0" w:line="177" w:lineRule="exact"/>
              <w:rPr>
                <w:sz w:val="20"/>
                <w:szCs w:val="20"/>
                <w:color w:val="auto"/>
              </w:rPr>
            </w:pPr>
            <w:r>
              <w:rPr>
                <w:rFonts w:ascii="Times New Roman" w:cs="Times New Roman" w:eastAsia="Times New Roman" w:hAnsi="Times New Roman"/>
                <w:sz w:val="16"/>
                <w:szCs w:val="16"/>
                <w:color w:val="auto"/>
              </w:rPr>
              <w:t>Class A common shares (US$0.00001 par value; 7,000,000,000 shares authorized as</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of December 31, 2021 and 2022, respectively; 894,456,046 shares issued as of</w:t>
            </w: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December 31, 2021 and 2022, respectively; 886,166,726 shares and 873,068,986</w:t>
            </w: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shares outstanding as of December 31, 2021 and 2022, respectively)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40" w:type="dxa"/>
            <w:vAlign w:val="bottom"/>
          </w:tcPr>
          <w:p>
            <w:pPr>
              <w:ind w:left="300"/>
              <w:spacing w:after="0" w:line="176" w:lineRule="exact"/>
              <w:rPr>
                <w:sz w:val="20"/>
                <w:szCs w:val="20"/>
                <w:color w:val="auto"/>
              </w:rPr>
            </w:pPr>
            <w:r>
              <w:rPr>
                <w:rFonts w:ascii="Times New Roman" w:cs="Times New Roman" w:eastAsia="Times New Roman" w:hAnsi="Times New Roman"/>
                <w:sz w:val="16"/>
                <w:szCs w:val="16"/>
                <w:color w:val="auto"/>
              </w:rPr>
              <w:t>Class B common shares (US$0.00001 par value; 800,000,000 shares authorized as of</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December 31, 2021 and 2022, respectively; 150,591,207 shares issued and</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outstanding as of December 31, 2021 and 2022, respectively)</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40" w:type="dxa"/>
            <w:vAlign w:val="bottom"/>
            <w:shd w:val="clear" w:color="auto" w:fill="CCEEFF"/>
          </w:tcPr>
          <w:p>
            <w:pPr>
              <w:ind w:left="300"/>
              <w:spacing w:after="0" w:line="177" w:lineRule="exact"/>
              <w:rPr>
                <w:sz w:val="20"/>
                <w:szCs w:val="20"/>
                <w:color w:val="auto"/>
              </w:rPr>
            </w:pPr>
            <w:r>
              <w:rPr>
                <w:rFonts w:ascii="Times New Roman" w:cs="Times New Roman" w:eastAsia="Times New Roman" w:hAnsi="Times New Roman"/>
                <w:sz w:val="16"/>
                <w:szCs w:val="16"/>
                <w:color w:val="auto"/>
              </w:rPr>
              <w:t>Treasury stock (3,436,860 shares and 16,534,600 shares as of December 31, 2021</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and December 31, 2022, respectively)</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(9,545)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(15,306)</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(2,219)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896,772</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904,935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(27,295)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(17,695)</w:t>
            </w:r>
          </w:p>
        </w:tc>
        <w:tc>
          <w:tcPr>
            <w:tcW w:w="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(2,566)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Accumulated deficit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(499,940)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(531,127)</w:t>
            </w:r>
          </w:p>
        </w:tc>
        <w:tc>
          <w:tcPr>
            <w:tcW w:w="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(77,006)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360,064</w:t>
            </w:r>
          </w:p>
        </w:tc>
        <w:tc>
          <w:tcPr>
            <w:tcW w:w="180" w:type="dxa"/>
            <w:vAlign w:val="bottom"/>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340,879</w:t>
            </w:r>
          </w:p>
        </w:tc>
        <w:tc>
          <w:tcPr>
            <w:tcW w:w="180" w:type="dxa"/>
            <w:vAlign w:val="bottom"/>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384,093</w:t>
            </w:r>
          </w:p>
        </w:tc>
        <w:tc>
          <w:tcPr>
            <w:tcW w:w="18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366,241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3960"/>
              <w:spacing w:after="0"/>
              <w:rPr>
                <w:sz w:val="20"/>
                <w:szCs w:val="20"/>
                <w:color w:val="auto"/>
              </w:rPr>
            </w:pPr>
            <w:r>
              <w:rPr>
                <w:rFonts w:ascii="Times New Roman" w:cs="Times New Roman" w:eastAsia="Times New Roman" w:hAnsi="Times New Roman"/>
                <w:sz w:val="16"/>
                <w:szCs w:val="16"/>
                <w:color w:val="auto"/>
              </w:rPr>
              <w:t>F-63</w:t>
            </w: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47" w:right="1440"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26. Parent company only condensed financial information (continued)</w:t>
      </w:r>
    </w:p>
    <w:p>
      <w:pPr>
        <w:spacing w:after="0" w:line="14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Statement of Comprehensive Income/(Loss)</w:t>
      </w:r>
    </w:p>
    <w:p>
      <w:pPr>
        <w:spacing w:after="0" w:line="224" w:lineRule="exact"/>
        <w:rPr>
          <w:sz w:val="20"/>
          <w:szCs w:val="20"/>
          <w:color w:val="auto"/>
        </w:rPr>
      </w:pPr>
    </w:p>
    <w:tbl>
      <w:tblPr>
        <w:tblLayout w:type="fixed"/>
        <w:tblInd w:w="11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3"/>
                <w:szCs w:val="13"/>
                <w:color w:val="auto"/>
              </w:rPr>
              <w:t>Year Ended December 31,</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560" w:type="dxa"/>
            <w:vAlign w:val="bottom"/>
          </w:tcPr>
          <w:p>
            <w:pPr>
              <w:jc w:val="right"/>
              <w:ind w:right="62"/>
              <w:spacing w:after="0" w:line="125" w:lineRule="exact"/>
              <w:rPr>
                <w:sz w:val="20"/>
                <w:szCs w:val="20"/>
                <w:color w:val="auto"/>
              </w:rPr>
            </w:pPr>
            <w:r>
              <w:rPr>
                <w:rFonts w:ascii="Times New Roman" w:cs="Times New Roman" w:eastAsia="Times New Roman" w:hAnsi="Times New Roman"/>
                <w:sz w:val="13"/>
                <w:szCs w:val="13"/>
                <w:color w:val="auto"/>
              </w:rPr>
              <w:t>2020</w:t>
            </w:r>
          </w:p>
        </w:tc>
        <w:tc>
          <w:tcPr>
            <w:tcW w:w="100" w:type="dxa"/>
            <w:vAlign w:val="bottom"/>
          </w:tcPr>
          <w:p>
            <w:pPr>
              <w:spacing w:after="0"/>
              <w:rPr>
                <w:sz w:val="10"/>
                <w:szCs w:val="10"/>
                <w:color w:val="auto"/>
              </w:rPr>
            </w:pPr>
          </w:p>
        </w:tc>
        <w:tc>
          <w:tcPr>
            <w:tcW w:w="700" w:type="dxa"/>
            <w:vAlign w:val="bottom"/>
            <w:gridSpan w:val="2"/>
          </w:tcPr>
          <w:p>
            <w:pPr>
              <w:jc w:val="right"/>
              <w:ind w:right="101"/>
              <w:spacing w:after="0" w:line="125" w:lineRule="exact"/>
              <w:rPr>
                <w:sz w:val="20"/>
                <w:szCs w:val="20"/>
                <w:color w:val="auto"/>
              </w:rPr>
            </w:pPr>
            <w:r>
              <w:rPr>
                <w:rFonts w:ascii="Times New Roman" w:cs="Times New Roman" w:eastAsia="Times New Roman" w:hAnsi="Times New Roman"/>
                <w:sz w:val="13"/>
                <w:szCs w:val="13"/>
                <w:color w:val="auto"/>
              </w:rPr>
              <w:t>2021</w:t>
            </w:r>
          </w:p>
        </w:tc>
        <w:tc>
          <w:tcPr>
            <w:tcW w:w="180" w:type="dxa"/>
            <w:vAlign w:val="bottom"/>
          </w:tcPr>
          <w:p>
            <w:pPr>
              <w:spacing w:after="0"/>
              <w:rPr>
                <w:sz w:val="10"/>
                <w:szCs w:val="10"/>
                <w:color w:val="auto"/>
              </w:rPr>
            </w:pPr>
          </w:p>
        </w:tc>
        <w:tc>
          <w:tcPr>
            <w:tcW w:w="74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3"/>
                <w:szCs w:val="13"/>
                <w:color w:val="auto"/>
              </w:rPr>
              <w:t>2022</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ind w:right="2"/>
              <w:spacing w:after="0" w:line="105" w:lineRule="exact"/>
              <w:rPr>
                <w:sz w:val="20"/>
                <w:szCs w:val="20"/>
                <w:color w:val="auto"/>
              </w:rPr>
            </w:pPr>
            <w:r>
              <w:rPr>
                <w:rFonts w:ascii="Times New Roman" w:cs="Times New Roman" w:eastAsia="Times New Roman" w:hAnsi="Times New Roman"/>
                <w:sz w:val="12"/>
                <w:szCs w:val="12"/>
                <w:color w:val="auto"/>
              </w:rPr>
              <w:t>USD$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RMB</w:t>
            </w:r>
          </w:p>
        </w:tc>
        <w:tc>
          <w:tcPr>
            <w:tcW w:w="8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RMB</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RMB</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5"/>
              </w:rPr>
              <w:t>Note 2(f)</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income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228</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1,269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1,553</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revenue</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228</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1,269</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1,553</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197"/>
        </w:trPr>
        <w:tc>
          <w:tcPr>
            <w:tcW w:w="6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cost and expenses</w:t>
            </w: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(5,994)</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(4,614)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0" w:type="dxa"/>
            <w:vAlign w:val="bottom"/>
          </w:tcPr>
          <w:p>
            <w:pPr>
              <w:spacing w:after="0"/>
              <w:rPr>
                <w:sz w:val="1"/>
                <w:szCs w:val="1"/>
                <w:color w:val="auto"/>
              </w:rPr>
            </w:pPr>
          </w:p>
        </w:tc>
      </w:tr>
      <w:tr>
        <w:trPr>
          <w:trHeight w:val="201"/>
        </w:trPr>
        <w:tc>
          <w:tcPr>
            <w:tcW w:w="6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(4,725)</w:t>
            </w:r>
          </w:p>
        </w:tc>
        <w:tc>
          <w:tcPr>
            <w:tcW w:w="18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1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expense</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 income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Unrealized exchange income</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421</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6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Profit/(loss) before income tax, and share of loss of subsidiaries and VIEs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(4,721)</w:t>
            </w:r>
          </w:p>
        </w:tc>
        <w:tc>
          <w:tcPr>
            <w:tcW w:w="18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1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Share of income/(loss) of subsidiaries and VIEs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(14,341)</w:t>
            </w:r>
          </w:p>
        </w:tc>
        <w:tc>
          <w:tcPr>
            <w:tcW w:w="22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(102,945)  (28,126)   (4,078)</w:t>
            </w:r>
          </w:p>
        </w:tc>
        <w:tc>
          <w:tcPr>
            <w:tcW w:w="0" w:type="dxa"/>
            <w:vAlign w:val="bottom"/>
          </w:tcPr>
          <w:p>
            <w:pPr>
              <w:spacing w:after="0"/>
              <w:rPr>
                <w:sz w:val="1"/>
                <w:szCs w:val="1"/>
                <w:color w:val="auto"/>
              </w:rPr>
            </w:pPr>
          </w:p>
        </w:tc>
      </w:tr>
      <w:tr>
        <w:trPr>
          <w:trHeight w:val="201"/>
        </w:trPr>
        <w:tc>
          <w:tcPr>
            <w:tcW w:w="6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profit/(loss)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(18,292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(107,666</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(31,187</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Redeemable preferred shares redemption value accretion</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Allocation to redeemable preferred shares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1,074</w:t>
            </w:r>
          </w:p>
        </w:tc>
        <w:tc>
          <w:tcPr>
            <w:tcW w:w="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profit/(loss) attributable to common shareholders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(21,492)</w:t>
            </w:r>
          </w:p>
        </w:tc>
        <w:tc>
          <w:tcPr>
            <w:tcW w:w="22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(107,666)  (31,187)   (4,523)</w:t>
            </w:r>
          </w:p>
        </w:tc>
        <w:tc>
          <w:tcPr>
            <w:tcW w:w="0" w:type="dxa"/>
            <w:vAlign w:val="bottom"/>
          </w:tcPr>
          <w:p>
            <w:pPr>
              <w:spacing w:after="0"/>
              <w:rPr>
                <w:sz w:val="1"/>
                <w:szCs w:val="1"/>
                <w:color w:val="auto"/>
              </w:rPr>
            </w:pPr>
          </w:p>
        </w:tc>
      </w:tr>
      <w:tr>
        <w:trPr>
          <w:trHeight w:val="197"/>
        </w:trPr>
        <w:tc>
          <w:tcPr>
            <w:tcW w:w="6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profit/(loss)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(18,292)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(107,666)</w:t>
            </w:r>
          </w:p>
        </w:tc>
        <w:tc>
          <w:tcPr>
            <w:tcW w:w="180" w:type="dxa"/>
            <w:vAlign w:val="bottom"/>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(31,187)</w:t>
            </w:r>
          </w:p>
        </w:tc>
        <w:tc>
          <w:tcPr>
            <w:tcW w:w="18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(4,523)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(22,386)</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(5,323)</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9,600</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1,392</w:t>
            </w:r>
          </w:p>
        </w:tc>
        <w:tc>
          <w:tcPr>
            <w:tcW w:w="0" w:type="dxa"/>
            <w:vAlign w:val="bottom"/>
          </w:tcPr>
          <w:p>
            <w:pPr>
              <w:spacing w:after="0"/>
              <w:rPr>
                <w:sz w:val="1"/>
                <w:szCs w:val="1"/>
                <w:color w:val="auto"/>
              </w:rPr>
            </w:pPr>
          </w:p>
        </w:tc>
      </w:tr>
      <w:tr>
        <w:trPr>
          <w:trHeight w:val="197"/>
        </w:trPr>
        <w:tc>
          <w:tcPr>
            <w:tcW w:w="6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income/(loss)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(40,678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(112,989</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(21,587</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360"/>
              <w:spacing w:after="0"/>
              <w:rPr>
                <w:sz w:val="20"/>
                <w:szCs w:val="20"/>
                <w:color w:val="auto"/>
              </w:rPr>
            </w:pPr>
            <w:r>
              <w:rPr>
                <w:rFonts w:ascii="Times New Roman" w:cs="Times New Roman" w:eastAsia="Times New Roman" w:hAnsi="Times New Roman"/>
                <w:sz w:val="16"/>
                <w:szCs w:val="16"/>
                <w:color w:val="auto"/>
              </w:rPr>
              <w:t>F-64</w:t>
            </w: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40"/>
          </w:cols>
          <w:pgMar w:left="320" w:top="447" w:right="1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26. Parent company only condensed financial information (continued)</w:t>
      </w:r>
    </w:p>
    <w:p>
      <w:pPr>
        <w:spacing w:after="0" w:line="14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Statement of cash flows</w:t>
      </w:r>
    </w:p>
    <w:p>
      <w:pPr>
        <w:spacing w:after="0" w:line="224" w:lineRule="exact"/>
        <w:rPr>
          <w:sz w:val="20"/>
          <w:szCs w:val="20"/>
          <w:color w:val="auto"/>
        </w:rPr>
      </w:pPr>
    </w:p>
    <w:tbl>
      <w:tblPr>
        <w:tblLayout w:type="fixed"/>
        <w:tblInd w:w="11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3"/>
                <w:szCs w:val="13"/>
                <w:color w:val="auto"/>
                <w:w w:val="98"/>
              </w:rPr>
              <w:t>Year Ended December 31,</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640" w:type="dxa"/>
            <w:vAlign w:val="bottom"/>
          </w:tcPr>
          <w:p>
            <w:pPr>
              <w:jc w:val="right"/>
              <w:ind w:right="121"/>
              <w:spacing w:after="0" w:line="125" w:lineRule="exact"/>
              <w:rPr>
                <w:sz w:val="20"/>
                <w:szCs w:val="20"/>
                <w:color w:val="auto"/>
              </w:rPr>
            </w:pPr>
            <w:r>
              <w:rPr>
                <w:rFonts w:ascii="Times New Roman" w:cs="Times New Roman" w:eastAsia="Times New Roman" w:hAnsi="Times New Roman"/>
                <w:sz w:val="13"/>
                <w:szCs w:val="13"/>
                <w:color w:val="auto"/>
              </w:rPr>
              <w:t>2020</w:t>
            </w:r>
          </w:p>
        </w:tc>
        <w:tc>
          <w:tcPr>
            <w:tcW w:w="80" w:type="dxa"/>
            <w:vAlign w:val="bottom"/>
          </w:tcPr>
          <w:p>
            <w:pPr>
              <w:spacing w:after="0"/>
              <w:rPr>
                <w:sz w:val="10"/>
                <w:szCs w:val="10"/>
                <w:color w:val="auto"/>
              </w:rPr>
            </w:pPr>
          </w:p>
        </w:tc>
        <w:tc>
          <w:tcPr>
            <w:tcW w:w="720" w:type="dxa"/>
            <w:vAlign w:val="bottom"/>
            <w:gridSpan w:val="2"/>
          </w:tcPr>
          <w:p>
            <w:pPr>
              <w:jc w:val="right"/>
              <w:ind w:right="101"/>
              <w:spacing w:after="0" w:line="125" w:lineRule="exact"/>
              <w:rPr>
                <w:sz w:val="20"/>
                <w:szCs w:val="20"/>
                <w:color w:val="auto"/>
              </w:rPr>
            </w:pPr>
            <w:r>
              <w:rPr>
                <w:rFonts w:ascii="Times New Roman" w:cs="Times New Roman" w:eastAsia="Times New Roman" w:hAnsi="Times New Roman"/>
                <w:sz w:val="13"/>
                <w:szCs w:val="13"/>
                <w:color w:val="auto"/>
              </w:rPr>
              <w:t>2021</w:t>
            </w:r>
          </w:p>
        </w:tc>
        <w:tc>
          <w:tcPr>
            <w:tcW w:w="180" w:type="dxa"/>
            <w:vAlign w:val="bottom"/>
          </w:tcPr>
          <w:p>
            <w:pPr>
              <w:spacing w:after="0"/>
              <w:rPr>
                <w:sz w:val="10"/>
                <w:szCs w:val="10"/>
                <w:color w:val="auto"/>
              </w:rPr>
            </w:pPr>
          </w:p>
        </w:tc>
        <w:tc>
          <w:tcPr>
            <w:tcW w:w="74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3"/>
                <w:szCs w:val="13"/>
                <w:color w:val="auto"/>
              </w:rPr>
              <w:t>2022</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640" w:type="dxa"/>
            <w:vAlign w:val="bottom"/>
            <w:tcBorders>
              <w:top w:val="single" w:sz="8" w:color="auto"/>
            </w:tcBorders>
          </w:tcPr>
          <w:p>
            <w:pPr>
              <w:jc w:val="right"/>
              <w:ind w:right="101"/>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jc w:val="right"/>
              <w:ind w:right="81"/>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180" w:type="dxa"/>
            <w:vAlign w:val="bottom"/>
          </w:tcPr>
          <w:p>
            <w:pPr>
              <w:spacing w:after="0"/>
              <w:rPr>
                <w:sz w:val="10"/>
                <w:szCs w:val="10"/>
                <w:color w:val="auto"/>
              </w:rPr>
            </w:pPr>
          </w:p>
        </w:tc>
        <w:tc>
          <w:tcPr>
            <w:tcW w:w="740" w:type="dxa"/>
            <w:vAlign w:val="bottom"/>
            <w:tcBorders>
              <w:top w:val="single" w:sz="8" w:color="auto"/>
            </w:tcBorders>
            <w:gridSpan w:val="2"/>
          </w:tcPr>
          <w:p>
            <w:pPr>
              <w:jc w:val="right"/>
              <w:ind w:right="280"/>
              <w:spacing w:after="0" w:line="125" w:lineRule="exact"/>
              <w:rPr>
                <w:sz w:val="20"/>
                <w:szCs w:val="20"/>
                <w:color w:val="auto"/>
              </w:rPr>
            </w:pPr>
            <w:r>
              <w:rPr>
                <w:rFonts w:ascii="Times New Roman" w:cs="Times New Roman" w:eastAsia="Times New Roman" w:hAnsi="Times New Roman"/>
                <w:sz w:val="13"/>
                <w:szCs w:val="13"/>
                <w:color w:val="auto"/>
              </w:rPr>
              <w:t>RMB</w:t>
            </w:r>
          </w:p>
        </w:tc>
        <w:tc>
          <w:tcPr>
            <w:tcW w:w="4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USD$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profit/(loss)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(18,292)</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(107,666)</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(31,187)</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profit/(loss) to net cash used in operating activities:</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exchange (income)/loss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Share of income/(loss) of subsidiaries and VIEs</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14,341</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102,945</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28,126</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4,078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 income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(4,721)</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(3,061)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197"/>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Increase/(decrease) in other payables and accrued expenses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(4,730)</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Increase/(decrease) in contract liabilities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4,555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(Increase)/decrease in prepaid expense and other receivables</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22,800</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3,306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(Increase)/decrease in accounts receivable and contract assets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216</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(Increase)/decrease in amount due from related parties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83</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1"/>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operating activities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18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18,473</w:t>
            </w:r>
          </w:p>
        </w:tc>
        <w:tc>
          <w:tcPr>
            <w:tcW w:w="1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Investments in subsidiaries and consolidated VIEs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(247)</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Payments of inter-company balances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(139,123)</w:t>
            </w:r>
          </w:p>
        </w:tc>
        <w:tc>
          <w:tcPr>
            <w:tcW w:w="22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(161,216)  (23,376)  (3,389)</w:t>
            </w:r>
          </w:p>
        </w:tc>
        <w:tc>
          <w:tcPr>
            <w:tcW w:w="0" w:type="dxa"/>
            <w:vAlign w:val="bottom"/>
          </w:tcPr>
          <w:p>
            <w:pPr>
              <w:spacing w:after="0"/>
              <w:rPr>
                <w:sz w:val="1"/>
                <w:szCs w:val="1"/>
                <w:color w:val="auto"/>
              </w:rPr>
            </w:pPr>
          </w:p>
        </w:tc>
      </w:tr>
      <w:tr>
        <w:trPr>
          <w:trHeight w:val="201"/>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investing activities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(139,368</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(161,463</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(23,376</w:t>
            </w:r>
          </w:p>
        </w:tc>
        <w:tc>
          <w:tcPr>
            <w:tcW w:w="1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Proceeds from initial public offering, net of issuance costs</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340,479</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Proceeds from exercise of options</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503</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497</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Repurchase of Class A common shares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(3,003)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(6,659)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financing activities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338,919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(2,506)</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(6,659)</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0" w:type="dxa"/>
            <w:vAlign w:val="bottom"/>
          </w:tcPr>
          <w:p>
            <w:pPr>
              <w:spacing w:after="0"/>
              <w:rPr>
                <w:sz w:val="1"/>
                <w:szCs w:val="1"/>
                <w:color w:val="auto"/>
              </w:rPr>
            </w:pPr>
          </w:p>
        </w:tc>
      </w:tr>
      <w:tr>
        <w:trPr>
          <w:trHeight w:val="201"/>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and cash equivalents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18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increase/(decrease) in cash and cash equivalents and restricted cash</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187,155</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(170,926)</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(10,678)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cash and cash equivalents and restricted cash at beginning of year</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187,217</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16,291</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2,362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cash and cash equivalents and restricted cash at end of year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187,217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16,291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5,613</w:t>
            </w:r>
          </w:p>
        </w:tc>
        <w:tc>
          <w:tcPr>
            <w:tcW w:w="1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ind w:left="4360"/>
              <w:spacing w:after="0"/>
              <w:rPr>
                <w:sz w:val="20"/>
                <w:szCs w:val="20"/>
                <w:color w:val="auto"/>
              </w:rPr>
            </w:pPr>
            <w:r>
              <w:rPr>
                <w:rFonts w:ascii="Times New Roman" w:cs="Times New Roman" w:eastAsia="Times New Roman" w:hAnsi="Times New Roman"/>
                <w:sz w:val="16"/>
                <w:szCs w:val="16"/>
                <w:color w:val="auto"/>
              </w:rPr>
              <w:t>F-65</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40"/>
          </w:cols>
          <w:pgMar w:left="320" w:top="447" w:right="1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7565" cy="508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7187565" cy="50800"/>
                    </a:xfrm>
                    <a:prstGeom prst="rect">
                      <a:avLst/>
                    </a:prstGeom>
                    <a:noFill/>
                  </pic:spPr>
                </pic:pic>
              </a:graphicData>
            </a:graphic>
          </wp:anchor>
        </w:drawing>
        <w:t>Table of Contents</w:t>
      </w:r>
    </w:p>
    <w:p>
      <w:pPr>
        <w:spacing w:after="0" w:line="273"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(All amounts in thousands, except share data, or otherwise noted)</w:t>
      </w:r>
    </w:p>
    <w:p>
      <w:pPr>
        <w:spacing w:after="0" w:line="1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27. Subsequent events</w:t>
      </w:r>
    </w:p>
    <w:p>
      <w:pPr>
        <w:spacing w:after="0" w:line="107" w:lineRule="exact"/>
        <w:rPr>
          <w:sz w:val="20"/>
          <w:szCs w:val="20"/>
          <w:color w:val="auto"/>
        </w:rPr>
      </w:pPr>
    </w:p>
    <w:p>
      <w:pPr>
        <w:ind w:left="700" w:firstLine="393"/>
        <w:spacing w:after="0" w:line="284" w:lineRule="auto"/>
        <w:rPr>
          <w:sz w:val="20"/>
          <w:szCs w:val="20"/>
          <w:color w:val="auto"/>
        </w:rPr>
      </w:pPr>
      <w:r>
        <w:rPr>
          <w:rFonts w:ascii="Times New Roman" w:cs="Times New Roman" w:eastAsia="Times New Roman" w:hAnsi="Times New Roman"/>
          <w:sz w:val="16"/>
          <w:szCs w:val="16"/>
          <w:color w:val="auto"/>
        </w:rPr>
        <w:t>The Company evaluated its subsequent events through April 19, 2023, the date on which these financial statements were issued. Except for the below transaction, there is no material events or transactions needing recognition or disclosure found.</w:t>
      </w:r>
    </w:p>
    <w:p>
      <w:pPr>
        <w:spacing w:after="0" w:line="8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F-66</w:t>
      </w:r>
    </w:p>
    <w:p>
      <w:pPr>
        <w:sectPr>
          <w:pgSz w:w="11900" w:h="16838" w:orient="portrait"/>
          <w:cols w:equalWidth="0" w:num="1">
            <w:col w:w="10280"/>
          </w:cols>
          <w:pgMar w:left="320" w:top="447" w:right="129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6"/>
          <w:szCs w:val="16"/>
          <w:b w:val="1"/>
          <w:bCs w:val="1"/>
          <w:color w:val="auto"/>
        </w:rPr>
        <w:t>Exhibit 8.1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Principal Subsidiaries and Affiliated Entities of The Registrant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Subsidiary</w:t>
            </w:r>
          </w:p>
        </w:tc>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Jurisdiction of</w:t>
            </w:r>
          </w:p>
        </w:tc>
        <w:tc>
          <w:tcPr>
            <w:tcW w:w="0" w:type="dxa"/>
            <w:vAlign w:val="bottom"/>
          </w:tcPr>
          <w:p>
            <w:pPr>
              <w:spacing w:after="0"/>
              <w:rPr>
                <w:sz w:val="1"/>
                <w:szCs w:val="1"/>
                <w:color w:val="auto"/>
              </w:rPr>
            </w:pPr>
          </w:p>
        </w:tc>
      </w:tr>
      <w:tr>
        <w:trPr>
          <w:trHeight w:val="138"/>
        </w:trPr>
        <w:tc>
          <w:tcPr>
            <w:tcW w:w="4760" w:type="dxa"/>
            <w:vAlign w:val="bottom"/>
            <w:vMerge w:val="continue"/>
          </w:tcPr>
          <w:p>
            <w:pPr>
              <w:spacing w:after="0"/>
              <w:rPr>
                <w:sz w:val="12"/>
                <w:szCs w:val="12"/>
                <w:color w:val="auto"/>
              </w:rPr>
            </w:pPr>
          </w:p>
        </w:tc>
        <w:tc>
          <w:tcPr>
            <w:tcW w:w="1740" w:type="dxa"/>
            <w:vAlign w:val="bottom"/>
          </w:tcPr>
          <w:p>
            <w:pPr>
              <w:ind w:left="360"/>
              <w:spacing w:after="0" w:line="138" w:lineRule="exact"/>
              <w:rPr>
                <w:sz w:val="20"/>
                <w:szCs w:val="20"/>
                <w:color w:val="auto"/>
              </w:rPr>
            </w:pPr>
            <w:r>
              <w:rPr>
                <w:rFonts w:ascii="Times New Roman" w:cs="Times New Roman" w:eastAsia="Times New Roman" w:hAnsi="Times New Roman"/>
                <w:sz w:val="13"/>
                <w:szCs w:val="13"/>
                <w:b w:val="1"/>
                <w:bCs w:val="1"/>
                <w:color w:val="auto"/>
              </w:rPr>
              <w:t>Incorporation</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Smart Choice Ventures Limited</w:t>
            </w:r>
          </w:p>
        </w:tc>
        <w:tc>
          <w:tcPr>
            <w:tcW w:w="17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Hong Kong Smart Choice Ventures Limited</w:t>
            </w:r>
          </w:p>
        </w:tc>
        <w:tc>
          <w:tcPr>
            <w:tcW w:w="1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Huize Hong Kong Insurance Broker Limited</w:t>
            </w:r>
          </w:p>
        </w:tc>
        <w:tc>
          <w:tcPr>
            <w:tcW w:w="1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Zhixuan International Management Consulting (Shenzhen) Co., Ltd.</w:t>
            </w:r>
          </w:p>
        </w:tc>
        <w:tc>
          <w:tcPr>
            <w:tcW w:w="1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482"/>
        </w:trPr>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affiliated entities and their subsidiaries</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760" w:type="dxa"/>
            <w:vAlign w:val="bottom"/>
          </w:tcPr>
          <w:p>
            <w:pPr>
              <w:spacing w:after="0"/>
              <w:rPr>
                <w:sz w:val="24"/>
                <w:szCs w:val="24"/>
                <w:color w:val="auto"/>
              </w:rPr>
            </w:pPr>
          </w:p>
        </w:tc>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Jurisdiction of</w:t>
            </w:r>
          </w:p>
        </w:tc>
        <w:tc>
          <w:tcPr>
            <w:tcW w:w="0" w:type="dxa"/>
            <w:vAlign w:val="bottom"/>
          </w:tcPr>
          <w:p>
            <w:pPr>
              <w:spacing w:after="0"/>
              <w:rPr>
                <w:sz w:val="1"/>
                <w:szCs w:val="1"/>
                <w:color w:val="auto"/>
              </w:rPr>
            </w:pPr>
          </w:p>
        </w:tc>
      </w:tr>
      <w:tr>
        <w:trPr>
          <w:trHeight w:val="150"/>
        </w:trPr>
        <w:tc>
          <w:tcPr>
            <w:tcW w:w="4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of Consolidated affiliated entities and their subsidiaries</w:t>
            </w:r>
          </w:p>
        </w:tc>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Incorporation</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Shenzhen Huiye Tianze Investment Holding Co., Ltd.</w:t>
            </w:r>
          </w:p>
        </w:tc>
        <w:tc>
          <w:tcPr>
            <w:tcW w:w="1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Huize Insurance Brokerage Co., Ltd.</w:t>
            </w:r>
          </w:p>
        </w:tc>
        <w:tc>
          <w:tcPr>
            <w:tcW w:w="1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Shenzhen Huize Shidai Co., Ltd.</w:t>
            </w:r>
          </w:p>
        </w:tc>
        <w:tc>
          <w:tcPr>
            <w:tcW w:w="1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Hefei Huize Internet Technology Co., Ltd.</w:t>
            </w:r>
          </w:p>
        </w:tc>
        <w:tc>
          <w:tcPr>
            <w:tcW w:w="1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Huize (Chengdu) Internet Technology Co., Ltd.</w:t>
            </w:r>
          </w:p>
        </w:tc>
        <w:tc>
          <w:tcPr>
            <w:tcW w:w="1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Shenzhen Zhixuan Wealth Investment Management Co., Ltd.</w:t>
            </w:r>
          </w:p>
        </w:tc>
        <w:tc>
          <w:tcPr>
            <w:tcW w:w="1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Shenzhen Detong Insurance Agency Co., Ltd.</w:t>
            </w:r>
          </w:p>
        </w:tc>
        <w:tc>
          <w:tcPr>
            <w:tcW w:w="1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Shenzhen Xiaoma Insurance Adjustment Co., Ltd.</w:t>
            </w:r>
          </w:p>
        </w:tc>
        <w:tc>
          <w:tcPr>
            <w:tcW w:w="1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Shanghai Huiju Haoshi Information Technology Co., Ltd.</w:t>
            </w:r>
          </w:p>
        </w:tc>
        <w:tc>
          <w:tcPr>
            <w:tcW w:w="1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Huize Yiyao (Chengdu) Internet Hospital Co., Ltd.</w:t>
            </w:r>
          </w:p>
        </w:tc>
        <w:tc>
          <w:tcPr>
            <w:tcW w:w="1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Shenzhen Huize Business Management Co., Ltd.</w:t>
            </w:r>
          </w:p>
        </w:tc>
        <w:tc>
          <w:tcPr>
            <w:tcW w:w="1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Shenzhen Huibang Technology Co., Ltd.</w:t>
            </w:r>
          </w:p>
        </w:tc>
        <w:tc>
          <w:tcPr>
            <w:tcW w:w="1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bl>
    <w:p>
      <w:pPr>
        <w:sectPr>
          <w:pgSz w:w="11900" w:h="16838" w:orient="portrait"/>
          <w:cols w:equalWidth="0" w:num="1">
            <w:col w:w="9840"/>
          </w:cols>
          <w:pgMar w:left="1020" w:top="121" w:right="10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Executive Officer</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Cunjun Ma, certify that:</w:t>
      </w:r>
    </w:p>
    <w:p>
      <w:pPr>
        <w:spacing w:after="0" w:line="105" w:lineRule="exact"/>
        <w:rPr>
          <w:sz w:val="20"/>
          <w:szCs w:val="20"/>
          <w:color w:val="auto"/>
        </w:rPr>
      </w:pPr>
    </w:p>
    <w:p>
      <w:pPr>
        <w:ind w:left="560" w:hanging="159"/>
        <w:spacing w:after="0"/>
        <w:tabs>
          <w:tab w:leader="none" w:pos="56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Huize Holding Limited;</w:t>
      </w:r>
    </w:p>
    <w:p>
      <w:pPr>
        <w:spacing w:after="0" w:line="201" w:lineRule="exact"/>
        <w:rPr>
          <w:rFonts w:ascii="Times New Roman" w:cs="Times New Roman" w:eastAsia="Times New Roman" w:hAnsi="Times New Roman"/>
          <w:sz w:val="16"/>
          <w:szCs w:val="16"/>
          <w:color w:val="auto"/>
        </w:rPr>
      </w:pPr>
    </w:p>
    <w:p>
      <w:pPr>
        <w:ind w:right="180" w:firstLine="401"/>
        <w:spacing w:after="0" w:line="267" w:lineRule="auto"/>
        <w:tabs>
          <w:tab w:leader="none" w:pos="554"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Times New Roman" w:cs="Times New Roman" w:eastAsia="Times New Roman" w:hAnsi="Times New Roman"/>
          <w:sz w:val="16"/>
          <w:szCs w:val="16"/>
          <w:color w:val="auto"/>
        </w:rPr>
      </w:pPr>
    </w:p>
    <w:p>
      <w:pPr>
        <w:ind w:right="140" w:firstLine="401"/>
        <w:spacing w:after="0" w:line="284" w:lineRule="auto"/>
        <w:tabs>
          <w:tab w:leader="none" w:pos="554"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2" w:lineRule="exact"/>
        <w:rPr>
          <w:rFonts w:ascii="Times New Roman" w:cs="Times New Roman" w:eastAsia="Times New Roman" w:hAnsi="Times New Roman"/>
          <w:sz w:val="16"/>
          <w:szCs w:val="16"/>
          <w:color w:val="auto"/>
        </w:rPr>
      </w:pPr>
    </w:p>
    <w:p>
      <w:pPr>
        <w:ind w:right="120" w:firstLine="401"/>
        <w:spacing w:after="0" w:line="262" w:lineRule="auto"/>
        <w:tabs>
          <w:tab w:leader="none" w:pos="554"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15d-15(f)) for the company and have:</w:t>
      </w:r>
    </w:p>
    <w:p>
      <w:pPr>
        <w:spacing w:after="0" w:line="88" w:lineRule="exact"/>
        <w:rPr>
          <w:rFonts w:ascii="Times New Roman" w:cs="Times New Roman" w:eastAsia="Times New Roman" w:hAnsi="Times New Roman"/>
          <w:sz w:val="16"/>
          <w:szCs w:val="16"/>
          <w:color w:val="auto"/>
        </w:rPr>
      </w:pPr>
    </w:p>
    <w:p>
      <w:pPr>
        <w:ind w:right="220" w:firstLine="892"/>
        <w:spacing w:after="0" w:line="267" w:lineRule="auto"/>
        <w:tabs>
          <w:tab w:leader="none" w:pos="1103"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6"/>
          <w:szCs w:val="16"/>
          <w:color w:val="auto"/>
        </w:rPr>
      </w:pPr>
    </w:p>
    <w:p>
      <w:pPr>
        <w:jc w:val="both"/>
        <w:ind w:right="200" w:firstLine="892"/>
        <w:spacing w:after="0" w:line="267" w:lineRule="auto"/>
        <w:tabs>
          <w:tab w:leader="none" w:pos="1112"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6"/>
          <w:szCs w:val="16"/>
          <w:color w:val="auto"/>
        </w:rPr>
      </w:pPr>
    </w:p>
    <w:p>
      <w:pPr>
        <w:ind w:right="80" w:firstLine="892"/>
        <w:spacing w:after="0" w:line="284" w:lineRule="auto"/>
        <w:tabs>
          <w:tab w:leader="none" w:pos="1103"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Times New Roman" w:cs="Times New Roman" w:eastAsia="Times New Roman" w:hAnsi="Times New Roman"/>
          <w:sz w:val="16"/>
          <w:szCs w:val="16"/>
          <w:color w:val="auto"/>
        </w:rPr>
      </w:pPr>
    </w:p>
    <w:p>
      <w:pPr>
        <w:ind w:right="80" w:firstLine="892"/>
        <w:spacing w:after="0" w:line="284" w:lineRule="auto"/>
        <w:tabs>
          <w:tab w:leader="none" w:pos="1112"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2" w:lineRule="exact"/>
        <w:rPr>
          <w:rFonts w:ascii="Times New Roman" w:cs="Times New Roman" w:eastAsia="Times New Roman" w:hAnsi="Times New Roman"/>
          <w:sz w:val="16"/>
          <w:szCs w:val="16"/>
          <w:color w:val="auto"/>
        </w:rPr>
      </w:pPr>
    </w:p>
    <w:p>
      <w:pPr>
        <w:ind w:right="80" w:firstLine="401"/>
        <w:spacing w:after="0" w:line="284" w:lineRule="auto"/>
        <w:tabs>
          <w:tab w:leader="none" w:pos="554"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6" w:lineRule="exact"/>
        <w:rPr>
          <w:rFonts w:ascii="Times New Roman" w:cs="Times New Roman" w:eastAsia="Times New Roman" w:hAnsi="Times New Roman"/>
          <w:sz w:val="16"/>
          <w:szCs w:val="16"/>
          <w:color w:val="auto"/>
        </w:rPr>
      </w:pPr>
    </w:p>
    <w:p>
      <w:pPr>
        <w:ind w:right="260" w:firstLine="892"/>
        <w:spacing w:after="0" w:line="284" w:lineRule="auto"/>
        <w:tabs>
          <w:tab w:leader="none" w:pos="1103"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2" w:lineRule="exact"/>
        <w:rPr>
          <w:rFonts w:ascii="Times New Roman" w:cs="Times New Roman" w:eastAsia="Times New Roman" w:hAnsi="Times New Roman"/>
          <w:sz w:val="16"/>
          <w:szCs w:val="16"/>
          <w:color w:val="auto"/>
        </w:rPr>
      </w:pPr>
    </w:p>
    <w:p>
      <w:pPr>
        <w:ind w:firstLine="892"/>
        <w:spacing w:after="0" w:line="284" w:lineRule="auto"/>
        <w:tabs>
          <w:tab w:leader="none" w:pos="1104"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19,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Cunjun Ma</w:t>
            </w:r>
          </w:p>
        </w:tc>
      </w:tr>
      <w:tr>
        <w:trPr>
          <w:trHeight w:val="169"/>
        </w:trPr>
        <w:tc>
          <w:tcPr>
            <w:tcW w:w="5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Name:</w:t>
            </w:r>
          </w:p>
        </w:tc>
        <w:tc>
          <w:tcPr>
            <w:tcW w:w="342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Cunjun Ma</w:t>
            </w:r>
          </w:p>
        </w:tc>
      </w:tr>
      <w:tr>
        <w:trPr>
          <w:trHeight w:val="19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Chairman of the Board of Directors</w:t>
            </w:r>
          </w:p>
        </w:tc>
      </w:tr>
      <w:tr>
        <w:trPr>
          <w:trHeight w:val="209"/>
        </w:trPr>
        <w:tc>
          <w:tcPr>
            <w:tcW w:w="5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and Chief Executive Officer</w:t>
            </w:r>
          </w:p>
        </w:tc>
      </w:tr>
    </w:tbl>
    <w:p>
      <w:pPr>
        <w:sectPr>
          <w:pgSz w:w="11900" w:h="16838" w:orient="portrait"/>
          <w:cols w:equalWidth="0" w:num="1">
            <w:col w:w="9840"/>
          </w:cols>
          <w:pgMar w:left="1020" w:top="121" w:right="10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6"/>
          <w:szCs w:val="16"/>
          <w:b w:val="1"/>
          <w:bCs w:val="1"/>
          <w:color w:val="auto"/>
        </w:rPr>
        <w:t>Exhibit 12.2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Ronald Tam, certify that:</w:t>
      </w:r>
    </w:p>
    <w:p>
      <w:pPr>
        <w:spacing w:after="0" w:line="105" w:lineRule="exact"/>
        <w:rPr>
          <w:sz w:val="20"/>
          <w:szCs w:val="20"/>
          <w:color w:val="auto"/>
        </w:rPr>
      </w:pPr>
    </w:p>
    <w:p>
      <w:pPr>
        <w:ind w:left="560" w:hanging="159"/>
        <w:spacing w:after="0"/>
        <w:tabs>
          <w:tab w:leader="none" w:pos="56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Huize Holding Limited;</w:t>
      </w:r>
    </w:p>
    <w:p>
      <w:pPr>
        <w:spacing w:after="0" w:line="201" w:lineRule="exact"/>
        <w:rPr>
          <w:rFonts w:ascii="Times New Roman" w:cs="Times New Roman" w:eastAsia="Times New Roman" w:hAnsi="Times New Roman"/>
          <w:sz w:val="16"/>
          <w:szCs w:val="16"/>
          <w:color w:val="auto"/>
        </w:rPr>
      </w:pPr>
    </w:p>
    <w:p>
      <w:pPr>
        <w:ind w:right="180" w:firstLine="401"/>
        <w:spacing w:after="0" w:line="267" w:lineRule="auto"/>
        <w:tabs>
          <w:tab w:leader="none" w:pos="554"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Times New Roman" w:cs="Times New Roman" w:eastAsia="Times New Roman" w:hAnsi="Times New Roman"/>
          <w:sz w:val="16"/>
          <w:szCs w:val="16"/>
          <w:color w:val="auto"/>
        </w:rPr>
      </w:pPr>
    </w:p>
    <w:p>
      <w:pPr>
        <w:ind w:right="140" w:firstLine="401"/>
        <w:spacing w:after="0" w:line="284" w:lineRule="auto"/>
        <w:tabs>
          <w:tab w:leader="none" w:pos="554"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2" w:lineRule="exact"/>
        <w:rPr>
          <w:rFonts w:ascii="Times New Roman" w:cs="Times New Roman" w:eastAsia="Times New Roman" w:hAnsi="Times New Roman"/>
          <w:sz w:val="16"/>
          <w:szCs w:val="16"/>
          <w:color w:val="auto"/>
        </w:rPr>
      </w:pPr>
    </w:p>
    <w:p>
      <w:pPr>
        <w:ind w:right="120" w:firstLine="401"/>
        <w:spacing w:after="0" w:line="262" w:lineRule="auto"/>
        <w:tabs>
          <w:tab w:leader="none" w:pos="551"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15d-15(f)) for the company and have:</w:t>
      </w:r>
    </w:p>
    <w:p>
      <w:pPr>
        <w:spacing w:after="0" w:line="88" w:lineRule="exact"/>
        <w:rPr>
          <w:rFonts w:ascii="Times New Roman" w:cs="Times New Roman" w:eastAsia="Times New Roman" w:hAnsi="Times New Roman"/>
          <w:sz w:val="16"/>
          <w:szCs w:val="16"/>
          <w:color w:val="auto"/>
        </w:rPr>
      </w:pPr>
    </w:p>
    <w:p>
      <w:pPr>
        <w:ind w:right="220" w:firstLine="892"/>
        <w:spacing w:after="0" w:line="267" w:lineRule="auto"/>
        <w:tabs>
          <w:tab w:leader="none" w:pos="1103"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6"/>
          <w:szCs w:val="16"/>
          <w:color w:val="auto"/>
        </w:rPr>
      </w:pPr>
    </w:p>
    <w:p>
      <w:pPr>
        <w:jc w:val="both"/>
        <w:ind w:right="200" w:firstLine="892"/>
        <w:spacing w:after="0" w:line="267" w:lineRule="auto"/>
        <w:tabs>
          <w:tab w:leader="none" w:pos="1112"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6"/>
          <w:szCs w:val="16"/>
          <w:color w:val="auto"/>
        </w:rPr>
      </w:pPr>
    </w:p>
    <w:p>
      <w:pPr>
        <w:ind w:right="80" w:firstLine="892"/>
        <w:spacing w:after="0" w:line="284" w:lineRule="auto"/>
        <w:tabs>
          <w:tab w:leader="none" w:pos="1103"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Times New Roman" w:cs="Times New Roman" w:eastAsia="Times New Roman" w:hAnsi="Times New Roman"/>
          <w:sz w:val="16"/>
          <w:szCs w:val="16"/>
          <w:color w:val="auto"/>
        </w:rPr>
      </w:pPr>
    </w:p>
    <w:p>
      <w:pPr>
        <w:ind w:right="80" w:firstLine="892"/>
        <w:spacing w:after="0" w:line="284" w:lineRule="auto"/>
        <w:tabs>
          <w:tab w:leader="none" w:pos="1112"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2" w:lineRule="exact"/>
        <w:rPr>
          <w:rFonts w:ascii="Times New Roman" w:cs="Times New Roman" w:eastAsia="Times New Roman" w:hAnsi="Times New Roman"/>
          <w:sz w:val="16"/>
          <w:szCs w:val="16"/>
          <w:color w:val="auto"/>
        </w:rPr>
      </w:pPr>
    </w:p>
    <w:p>
      <w:pPr>
        <w:ind w:right="80" w:firstLine="401"/>
        <w:spacing w:after="0" w:line="284" w:lineRule="auto"/>
        <w:tabs>
          <w:tab w:leader="none" w:pos="551"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6" w:lineRule="exact"/>
        <w:rPr>
          <w:rFonts w:ascii="Times New Roman" w:cs="Times New Roman" w:eastAsia="Times New Roman" w:hAnsi="Times New Roman"/>
          <w:sz w:val="16"/>
          <w:szCs w:val="16"/>
          <w:color w:val="auto"/>
        </w:rPr>
      </w:pPr>
    </w:p>
    <w:p>
      <w:pPr>
        <w:ind w:right="280" w:firstLine="892"/>
        <w:spacing w:after="0" w:line="284" w:lineRule="auto"/>
        <w:tabs>
          <w:tab w:leader="none" w:pos="1094"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2" w:lineRule="exact"/>
        <w:rPr>
          <w:rFonts w:ascii="Times New Roman" w:cs="Times New Roman" w:eastAsia="Times New Roman" w:hAnsi="Times New Roman"/>
          <w:sz w:val="16"/>
          <w:szCs w:val="16"/>
          <w:color w:val="auto"/>
        </w:rPr>
      </w:pPr>
    </w:p>
    <w:p>
      <w:pPr>
        <w:ind w:firstLine="892"/>
        <w:spacing w:after="0" w:line="284" w:lineRule="auto"/>
        <w:tabs>
          <w:tab w:leader="none" w:pos="1104"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19,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Ronald Tam</w:t>
            </w:r>
          </w:p>
        </w:tc>
      </w:tr>
      <w:tr>
        <w:trPr>
          <w:trHeight w:val="169"/>
        </w:trPr>
        <w:tc>
          <w:tcPr>
            <w:tcW w:w="5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Name:</w:t>
            </w:r>
          </w:p>
        </w:tc>
        <w:tc>
          <w:tcPr>
            <w:tcW w:w="342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Ronald Tam</w:t>
            </w: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Co-Chief Financial Officer</w:t>
            </w:r>
          </w:p>
        </w:tc>
      </w:tr>
    </w:tbl>
    <w:p>
      <w:pPr>
        <w:sectPr>
          <w:pgSz w:w="11900" w:h="16838" w:orient="portrait"/>
          <w:cols w:equalWidth="0" w:num="1">
            <w:col w:w="9840"/>
          </w:cols>
          <w:pgMar w:left="1020" w:top="121" w:right="10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6"/>
          <w:szCs w:val="16"/>
          <w:b w:val="1"/>
          <w:bCs w:val="1"/>
          <w:color w:val="auto"/>
        </w:rPr>
        <w:t>Exhibit 12.3</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Minghan Xiao, certify that:</w:t>
      </w:r>
    </w:p>
    <w:p>
      <w:pPr>
        <w:spacing w:after="0" w:line="105" w:lineRule="exact"/>
        <w:rPr>
          <w:sz w:val="20"/>
          <w:szCs w:val="20"/>
          <w:color w:val="auto"/>
        </w:rPr>
      </w:pPr>
    </w:p>
    <w:p>
      <w:pPr>
        <w:ind w:left="560" w:hanging="159"/>
        <w:spacing w:after="0"/>
        <w:tabs>
          <w:tab w:leader="none" w:pos="56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Huize Holding Limited;</w:t>
      </w:r>
    </w:p>
    <w:p>
      <w:pPr>
        <w:spacing w:after="0" w:line="201" w:lineRule="exact"/>
        <w:rPr>
          <w:rFonts w:ascii="Times New Roman" w:cs="Times New Roman" w:eastAsia="Times New Roman" w:hAnsi="Times New Roman"/>
          <w:sz w:val="16"/>
          <w:szCs w:val="16"/>
          <w:color w:val="auto"/>
        </w:rPr>
      </w:pPr>
    </w:p>
    <w:p>
      <w:pPr>
        <w:ind w:right="180" w:firstLine="401"/>
        <w:spacing w:after="0" w:line="267" w:lineRule="auto"/>
        <w:tabs>
          <w:tab w:leader="none" w:pos="554"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Times New Roman" w:cs="Times New Roman" w:eastAsia="Times New Roman" w:hAnsi="Times New Roman"/>
          <w:sz w:val="16"/>
          <w:szCs w:val="16"/>
          <w:color w:val="auto"/>
        </w:rPr>
      </w:pPr>
    </w:p>
    <w:p>
      <w:pPr>
        <w:ind w:right="140" w:firstLine="401"/>
        <w:spacing w:after="0" w:line="284" w:lineRule="auto"/>
        <w:tabs>
          <w:tab w:leader="none" w:pos="554"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2" w:lineRule="exact"/>
        <w:rPr>
          <w:rFonts w:ascii="Times New Roman" w:cs="Times New Roman" w:eastAsia="Times New Roman" w:hAnsi="Times New Roman"/>
          <w:sz w:val="16"/>
          <w:szCs w:val="16"/>
          <w:color w:val="auto"/>
        </w:rPr>
      </w:pPr>
    </w:p>
    <w:p>
      <w:pPr>
        <w:ind w:right="120" w:firstLine="401"/>
        <w:spacing w:after="0" w:line="262" w:lineRule="auto"/>
        <w:tabs>
          <w:tab w:leader="none" w:pos="554"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15d-15(f)) for the company and have:</w:t>
      </w:r>
    </w:p>
    <w:p>
      <w:pPr>
        <w:spacing w:after="0" w:line="88" w:lineRule="exact"/>
        <w:rPr>
          <w:rFonts w:ascii="Times New Roman" w:cs="Times New Roman" w:eastAsia="Times New Roman" w:hAnsi="Times New Roman"/>
          <w:sz w:val="16"/>
          <w:szCs w:val="16"/>
          <w:color w:val="auto"/>
        </w:rPr>
      </w:pPr>
    </w:p>
    <w:p>
      <w:pPr>
        <w:ind w:right="220" w:firstLine="892"/>
        <w:spacing w:after="0" w:line="267" w:lineRule="auto"/>
        <w:tabs>
          <w:tab w:leader="none" w:pos="1103"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6"/>
          <w:szCs w:val="16"/>
          <w:color w:val="auto"/>
        </w:rPr>
      </w:pPr>
    </w:p>
    <w:p>
      <w:pPr>
        <w:jc w:val="both"/>
        <w:ind w:right="200" w:firstLine="892"/>
        <w:spacing w:after="0" w:line="267" w:lineRule="auto"/>
        <w:tabs>
          <w:tab w:leader="none" w:pos="1112"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6"/>
          <w:szCs w:val="16"/>
          <w:color w:val="auto"/>
        </w:rPr>
      </w:pPr>
    </w:p>
    <w:p>
      <w:pPr>
        <w:ind w:right="80" w:firstLine="892"/>
        <w:spacing w:after="0" w:line="284" w:lineRule="auto"/>
        <w:tabs>
          <w:tab w:leader="none" w:pos="1103"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Times New Roman" w:cs="Times New Roman" w:eastAsia="Times New Roman" w:hAnsi="Times New Roman"/>
          <w:sz w:val="16"/>
          <w:szCs w:val="16"/>
          <w:color w:val="auto"/>
        </w:rPr>
      </w:pPr>
    </w:p>
    <w:p>
      <w:pPr>
        <w:ind w:right="80" w:firstLine="892"/>
        <w:spacing w:after="0" w:line="284" w:lineRule="auto"/>
        <w:tabs>
          <w:tab w:leader="none" w:pos="1112"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2" w:lineRule="exact"/>
        <w:rPr>
          <w:rFonts w:ascii="Times New Roman" w:cs="Times New Roman" w:eastAsia="Times New Roman" w:hAnsi="Times New Roman"/>
          <w:sz w:val="16"/>
          <w:szCs w:val="16"/>
          <w:color w:val="auto"/>
        </w:rPr>
      </w:pPr>
    </w:p>
    <w:p>
      <w:pPr>
        <w:ind w:right="80" w:firstLine="401"/>
        <w:spacing w:after="0" w:line="284" w:lineRule="auto"/>
        <w:tabs>
          <w:tab w:leader="none" w:pos="554"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6" w:lineRule="exact"/>
        <w:rPr>
          <w:rFonts w:ascii="Times New Roman" w:cs="Times New Roman" w:eastAsia="Times New Roman" w:hAnsi="Times New Roman"/>
          <w:sz w:val="16"/>
          <w:szCs w:val="16"/>
          <w:color w:val="auto"/>
        </w:rPr>
      </w:pPr>
    </w:p>
    <w:p>
      <w:pPr>
        <w:ind w:right="260" w:firstLine="892"/>
        <w:spacing w:after="0" w:line="284" w:lineRule="auto"/>
        <w:tabs>
          <w:tab w:leader="none" w:pos="1103"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2" w:lineRule="exact"/>
        <w:rPr>
          <w:rFonts w:ascii="Times New Roman" w:cs="Times New Roman" w:eastAsia="Times New Roman" w:hAnsi="Times New Roman"/>
          <w:sz w:val="16"/>
          <w:szCs w:val="16"/>
          <w:color w:val="auto"/>
        </w:rPr>
      </w:pPr>
    </w:p>
    <w:p>
      <w:pPr>
        <w:ind w:firstLine="892"/>
        <w:spacing w:after="0" w:line="284" w:lineRule="auto"/>
        <w:tabs>
          <w:tab w:leader="none" w:pos="1104"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19,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Minghan Xiao</w:t>
            </w:r>
          </w:p>
        </w:tc>
      </w:tr>
      <w:tr>
        <w:trPr>
          <w:trHeight w:val="169"/>
        </w:trPr>
        <w:tc>
          <w:tcPr>
            <w:tcW w:w="5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Name:</w:t>
            </w:r>
          </w:p>
        </w:tc>
        <w:tc>
          <w:tcPr>
            <w:tcW w:w="342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Minghan Xiao</w:t>
            </w: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Co-Chief Financial Officer</w:t>
            </w:r>
          </w:p>
        </w:tc>
      </w:tr>
    </w:tbl>
    <w:p>
      <w:pPr>
        <w:sectPr>
          <w:pgSz w:w="11900" w:h="16838" w:orient="portrait"/>
          <w:cols w:equalWidth="0" w:num="1">
            <w:col w:w="9840"/>
          </w:cols>
          <w:pgMar w:left="1020" w:top="121" w:right="10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6"/>
          <w:szCs w:val="16"/>
          <w:b w:val="1"/>
          <w:bCs w:val="1"/>
          <w:color w:val="auto"/>
        </w:rPr>
        <w:t>Exhibit 13.1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Executive Officer</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204" w:lineRule="exact"/>
        <w:rPr>
          <w:sz w:val="20"/>
          <w:szCs w:val="20"/>
          <w:color w:val="auto"/>
        </w:rPr>
      </w:pPr>
    </w:p>
    <w:p>
      <w:pPr>
        <w:ind w:right="200" w:firstLine="393"/>
        <w:spacing w:after="0" w:line="267" w:lineRule="auto"/>
        <w:rPr>
          <w:sz w:val="20"/>
          <w:szCs w:val="20"/>
          <w:color w:val="auto"/>
        </w:rPr>
      </w:pPr>
      <w:r>
        <w:rPr>
          <w:rFonts w:ascii="Times New Roman" w:cs="Times New Roman" w:eastAsia="Times New Roman" w:hAnsi="Times New Roman"/>
          <w:sz w:val="16"/>
          <w:szCs w:val="16"/>
          <w:color w:val="auto"/>
        </w:rPr>
        <w:t>In connection with the Annual Report of Huize Holding Limited (the “Company”) on Form 20-F for the year ended December 31, 2022 as filed with the Securities and Exchange Commission on the date hereof (the “Report”), I, Cunjun Ma, Chief Executive Officer of the Company, certify, pursuant to 18 U.S.C. Section 1350, as adopted pursuant to Section 906 of the Sarbanes-Oxley Act of 2002, that to my knowledge:</w:t>
      </w:r>
    </w:p>
    <w:p>
      <w:pPr>
        <w:spacing w:after="0" w:line="61" w:lineRule="exact"/>
        <w:rPr>
          <w:sz w:val="20"/>
          <w:szCs w:val="20"/>
          <w:color w:val="auto"/>
        </w:rPr>
      </w:pPr>
    </w:p>
    <w:p>
      <w:pPr>
        <w:ind w:left="620" w:hanging="219"/>
        <w:spacing w:after="0"/>
        <w:tabs>
          <w:tab w:leader="none" w:pos="62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6"/>
          <w:szCs w:val="16"/>
          <w:color w:val="auto"/>
        </w:rPr>
      </w:pPr>
    </w:p>
    <w:p>
      <w:pPr>
        <w:ind w:right="580" w:firstLine="401"/>
        <w:spacing w:after="0" w:line="284" w:lineRule="auto"/>
        <w:tabs>
          <w:tab w:leader="none" w:pos="618"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19,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Cunjun Ma</w:t>
            </w:r>
          </w:p>
        </w:tc>
      </w:tr>
      <w:tr>
        <w:trPr>
          <w:trHeight w:val="169"/>
        </w:trPr>
        <w:tc>
          <w:tcPr>
            <w:tcW w:w="5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Name:</w:t>
            </w:r>
          </w:p>
        </w:tc>
        <w:tc>
          <w:tcPr>
            <w:tcW w:w="342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Cunjun Ma</w:t>
            </w:r>
          </w:p>
        </w:tc>
      </w:tr>
      <w:tr>
        <w:trPr>
          <w:trHeight w:val="19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Chairman of the Board of Directors</w:t>
            </w:r>
          </w:p>
        </w:tc>
      </w:tr>
      <w:tr>
        <w:trPr>
          <w:trHeight w:val="209"/>
        </w:trPr>
        <w:tc>
          <w:tcPr>
            <w:tcW w:w="5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and Chief Executive Officer</w:t>
            </w:r>
          </w:p>
        </w:tc>
      </w:tr>
    </w:tbl>
    <w:p>
      <w:pPr>
        <w:sectPr>
          <w:pgSz w:w="11900" w:h="16838" w:orient="portrait"/>
          <w:cols w:equalWidth="0" w:num="1">
            <w:col w:w="9840"/>
          </w:cols>
          <w:pgMar w:left="1020" w:top="121" w:right="10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6"/>
          <w:szCs w:val="16"/>
          <w:b w:val="1"/>
          <w:bCs w:val="1"/>
          <w:color w:val="auto"/>
        </w:rPr>
        <w:t>Exhibit 13.2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204" w:lineRule="exact"/>
        <w:rPr>
          <w:sz w:val="20"/>
          <w:szCs w:val="20"/>
          <w:color w:val="auto"/>
        </w:rPr>
      </w:pPr>
    </w:p>
    <w:p>
      <w:pPr>
        <w:jc w:val="both"/>
        <w:ind w:right="200" w:firstLine="393"/>
        <w:spacing w:after="0" w:line="267" w:lineRule="auto"/>
        <w:rPr>
          <w:sz w:val="20"/>
          <w:szCs w:val="20"/>
          <w:color w:val="auto"/>
        </w:rPr>
      </w:pPr>
      <w:r>
        <w:rPr>
          <w:rFonts w:ascii="Times New Roman" w:cs="Times New Roman" w:eastAsia="Times New Roman" w:hAnsi="Times New Roman"/>
          <w:sz w:val="16"/>
          <w:szCs w:val="16"/>
          <w:color w:val="auto"/>
        </w:rPr>
        <w:t>In connection with the Annual Report of Huize Holding Limited (the “Company”) on Form 20-F for the year ended December 31, 2022 as filed with the Securities and Exchange Commission on the date hereof (the “Report”), I, Ronald Tam, Co-Chief Financial Officer of the Company, certify, pursuant to 18 U.S.C. Section 1350, as adopted pursuant to Section 906 of the Sarbanes-Oxley Act of 2002, that to my knowledge:</w:t>
      </w:r>
    </w:p>
    <w:p>
      <w:pPr>
        <w:spacing w:after="0" w:line="61" w:lineRule="exact"/>
        <w:rPr>
          <w:sz w:val="20"/>
          <w:szCs w:val="20"/>
          <w:color w:val="auto"/>
        </w:rPr>
      </w:pPr>
    </w:p>
    <w:p>
      <w:pPr>
        <w:ind w:left="620" w:hanging="219"/>
        <w:spacing w:after="0"/>
        <w:tabs>
          <w:tab w:leader="none" w:pos="62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6"/>
          <w:szCs w:val="16"/>
          <w:color w:val="auto"/>
        </w:rPr>
      </w:pPr>
    </w:p>
    <w:p>
      <w:pPr>
        <w:ind w:right="580" w:firstLine="401"/>
        <w:spacing w:after="0" w:line="284" w:lineRule="auto"/>
        <w:tabs>
          <w:tab w:leader="none" w:pos="618"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19,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Ronald Tam</w:t>
            </w:r>
          </w:p>
        </w:tc>
      </w:tr>
      <w:tr>
        <w:trPr>
          <w:trHeight w:val="169"/>
        </w:trPr>
        <w:tc>
          <w:tcPr>
            <w:tcW w:w="5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Name:</w:t>
            </w:r>
          </w:p>
        </w:tc>
        <w:tc>
          <w:tcPr>
            <w:tcW w:w="342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Ronald Tam</w:t>
            </w: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Co-Chief Financial Officer</w:t>
            </w:r>
          </w:p>
        </w:tc>
      </w:tr>
    </w:tbl>
    <w:p>
      <w:pPr>
        <w:sectPr>
          <w:pgSz w:w="11900" w:h="16838" w:orient="portrait"/>
          <w:cols w:equalWidth="0" w:num="1">
            <w:col w:w="9840"/>
          </w:cols>
          <w:pgMar w:left="1020" w:top="121" w:right="10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6"/>
          <w:szCs w:val="16"/>
          <w:b w:val="1"/>
          <w:bCs w:val="1"/>
          <w:color w:val="auto"/>
        </w:rPr>
        <w:t>Exhibit 13.3</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204" w:lineRule="exact"/>
        <w:rPr>
          <w:sz w:val="20"/>
          <w:szCs w:val="20"/>
          <w:color w:val="auto"/>
        </w:rPr>
      </w:pPr>
    </w:p>
    <w:p>
      <w:pPr>
        <w:jc w:val="both"/>
        <w:ind w:right="120" w:firstLine="393"/>
        <w:spacing w:after="0" w:line="267" w:lineRule="auto"/>
        <w:rPr>
          <w:sz w:val="20"/>
          <w:szCs w:val="20"/>
          <w:color w:val="auto"/>
        </w:rPr>
      </w:pPr>
      <w:r>
        <w:rPr>
          <w:rFonts w:ascii="Times New Roman" w:cs="Times New Roman" w:eastAsia="Times New Roman" w:hAnsi="Times New Roman"/>
          <w:sz w:val="16"/>
          <w:szCs w:val="16"/>
          <w:color w:val="auto"/>
        </w:rPr>
        <w:t>In connection with the Annual Report of Huize Holding Limited (the “Company”) on Form 20-F for the year ended December 31, 2022 as filed with the Securities and Exchange Commission on the date hereof (the “Report”), I, Minghan Xiao, Co-Chief Financial Officer of the Company, certify, pursuant to 18 U.S.C. Section 1350, as adopted pursuant to Section 906 of the Sarbanes-Oxley Act of 2002, that to my knowledge:</w:t>
      </w:r>
    </w:p>
    <w:p>
      <w:pPr>
        <w:spacing w:after="0" w:line="61" w:lineRule="exact"/>
        <w:rPr>
          <w:sz w:val="20"/>
          <w:szCs w:val="20"/>
          <w:color w:val="auto"/>
        </w:rPr>
      </w:pPr>
    </w:p>
    <w:p>
      <w:pPr>
        <w:ind w:left="620" w:hanging="219"/>
        <w:spacing w:after="0"/>
        <w:tabs>
          <w:tab w:leader="none" w:pos="62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6"/>
          <w:szCs w:val="16"/>
          <w:color w:val="auto"/>
        </w:rPr>
      </w:pPr>
    </w:p>
    <w:p>
      <w:pPr>
        <w:ind w:right="580" w:firstLine="401"/>
        <w:spacing w:after="0" w:line="284" w:lineRule="auto"/>
        <w:tabs>
          <w:tab w:leader="none" w:pos="618"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19,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Minghan Xiao</w:t>
            </w:r>
          </w:p>
        </w:tc>
      </w:tr>
      <w:tr>
        <w:trPr>
          <w:trHeight w:val="169"/>
        </w:trPr>
        <w:tc>
          <w:tcPr>
            <w:tcW w:w="5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Name:</w:t>
            </w:r>
          </w:p>
        </w:tc>
        <w:tc>
          <w:tcPr>
            <w:tcW w:w="342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Minghan Xiao</w:t>
            </w: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Co-Chief Financial Officer</w:t>
            </w:r>
          </w:p>
        </w:tc>
      </w:tr>
    </w:tbl>
    <w:p>
      <w:pPr>
        <w:sectPr>
          <w:pgSz w:w="11900" w:h="16838" w:orient="portrait"/>
          <w:cols w:equalWidth="0" w:num="1">
            <w:col w:w="9840"/>
          </w:cols>
          <w:pgMar w:left="1020" w:top="121" w:right="10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6"/>
          <w:szCs w:val="16"/>
          <w:b w:val="1"/>
          <w:bCs w:val="1"/>
          <w:color w:val="auto"/>
        </w:rPr>
        <w:t>Exhibit 15.1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202"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 S-8 (No. 333-238148 and No.333-269596) of Huize Holding Limited of our report dated April 19, 2023 relating to the financial statements, which appears in this Form 20-F.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Zhong Tian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PricewaterhouseCoopers Zhong Tian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Shenzhen,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19, 2023</w:t>
      </w:r>
    </w:p>
    <w:p>
      <w:pPr>
        <w:sectPr>
          <w:pgSz w:w="11900" w:h="16838" w:orient="portrait"/>
          <w:cols w:equalWidth="0" w:num="1">
            <w:col w:w="9840"/>
          </w:cols>
          <w:pgMar w:left="1020" w:top="121" w:right="10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6"/>
          <w:szCs w:val="16"/>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154940</wp:posOffset>
            </wp:positionV>
            <wp:extent cx="1981835" cy="3060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1981835" cy="30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line="184" w:lineRule="exact"/>
        <w:rPr>
          <w:sz w:val="20"/>
          <w:szCs w:val="20"/>
          <w:color w:val="auto"/>
        </w:rPr>
      </w:pPr>
      <w:r>
        <w:rPr>
          <w:rFonts w:ascii="SimSun" w:cs="SimSun" w:eastAsia="SimSun" w:hAnsi="SimSun"/>
          <w:sz w:val="14"/>
          <w:szCs w:val="14"/>
          <w:color w:val="auto"/>
        </w:rPr>
        <w:t>中国北京建国门外大街</w:t>
      </w:r>
      <w:r>
        <w:rPr>
          <w:rFonts w:ascii="Times New Roman" w:cs="Times New Roman" w:eastAsia="Times New Roman" w:hAnsi="Times New Roman"/>
          <w:sz w:val="16"/>
          <w:szCs w:val="16"/>
          <w:color w:val="auto"/>
        </w:rPr>
        <w:t xml:space="preserve">1 </w:t>
      </w:r>
      <w:r>
        <w:rPr>
          <w:rFonts w:ascii="SimSun" w:cs="SimSun" w:eastAsia="SimSun" w:hAnsi="SimSun"/>
          <w:sz w:val="14"/>
          <w:szCs w:val="14"/>
          <w:color w:val="auto"/>
          <w:highlight w:val="black"/>
        </w:rPr>
        <w:t>号国贸写字楼</w:t>
      </w:r>
      <w:r>
        <w:rPr>
          <w:rFonts w:ascii="Times New Roman" w:cs="Times New Roman" w:eastAsia="Times New Roman" w:hAnsi="Times New Roman"/>
          <w:sz w:val="16"/>
          <w:szCs w:val="16"/>
          <w:color w:val="auto"/>
        </w:rPr>
        <w:t xml:space="preserve">2 </w:t>
      </w:r>
      <w:r>
        <w:rPr>
          <w:rFonts w:ascii="SimSun" w:cs="SimSun" w:eastAsia="SimSun" w:hAnsi="SimSun"/>
          <w:sz w:val="14"/>
          <w:szCs w:val="14"/>
          <w:color w:val="auto"/>
          <w:highlight w:val="black"/>
        </w:rPr>
        <w:t>座</w:t>
      </w:r>
      <w:r>
        <w:rPr>
          <w:rFonts w:ascii="Times New Roman" w:cs="Times New Roman" w:eastAsia="Times New Roman" w:hAnsi="Times New Roman"/>
          <w:sz w:val="16"/>
          <w:szCs w:val="16"/>
          <w:color w:val="auto"/>
        </w:rPr>
        <w:t>12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14 </w:t>
      </w:r>
      <w:r>
        <w:rPr>
          <w:rFonts w:ascii="SimSun" w:cs="SimSun" w:eastAsia="SimSun" w:hAnsi="SimSun"/>
          <w:sz w:val="14"/>
          <w:szCs w:val="14"/>
          <w:color w:val="auto"/>
        </w:rPr>
        <w:t>层</w:t>
      </w:r>
      <w:r>
        <w:rPr>
          <w:rFonts w:ascii="Times New Roman" w:cs="Times New Roman" w:eastAsia="Times New Roman" w:hAnsi="Times New Roman"/>
          <w:sz w:val="16"/>
          <w:szCs w:val="16"/>
          <w:color w:val="auto"/>
        </w:rPr>
        <w:t>100004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12-14th Floor, China World Office 2, No. 1 Jianguomenwai Avenue, Beijing 100004, China</w:t>
      </w:r>
    </w:p>
    <w:p>
      <w:pPr>
        <w:spacing w:after="0" w:line="21" w:lineRule="exact"/>
        <w:rPr>
          <w:sz w:val="20"/>
          <w:szCs w:val="20"/>
          <w:color w:val="auto"/>
        </w:rPr>
      </w:pPr>
    </w:p>
    <w:p>
      <w:pPr>
        <w:jc w:val="center"/>
        <w:spacing w:after="0" w:line="184" w:lineRule="exact"/>
        <w:rPr>
          <w:sz w:val="20"/>
          <w:szCs w:val="20"/>
          <w:color w:val="auto"/>
        </w:rPr>
      </w:pPr>
      <w:r>
        <w:rPr>
          <w:rFonts w:ascii="SimSun" w:cs="SimSun" w:eastAsia="SimSun" w:hAnsi="SimSun"/>
          <w:sz w:val="14"/>
          <w:szCs w:val="14"/>
          <w:color w:val="auto"/>
          <w:highlight w:val="black"/>
        </w:rPr>
        <w:t>电话</w:t>
      </w:r>
      <w:r>
        <w:rPr>
          <w:rFonts w:ascii="Times New Roman" w:cs="Times New Roman" w:eastAsia="Times New Roman" w:hAnsi="Times New Roman"/>
          <w:sz w:val="16"/>
          <w:szCs w:val="16"/>
          <w:color w:val="auto"/>
        </w:rPr>
        <w:t xml:space="preserve"> Tel: +86 10 6563 7181 </w:t>
      </w:r>
      <w:r>
        <w:rPr>
          <w:rFonts w:ascii="SimSun" w:cs="SimSun" w:eastAsia="SimSun" w:hAnsi="SimSun"/>
          <w:sz w:val="14"/>
          <w:szCs w:val="14"/>
          <w:color w:val="auto"/>
        </w:rPr>
        <w:t>传真</w:t>
      </w:r>
      <w:r>
        <w:rPr>
          <w:rFonts w:ascii="Times New Roman" w:cs="Times New Roman" w:eastAsia="Times New Roman" w:hAnsi="Times New Roman"/>
          <w:sz w:val="16"/>
          <w:szCs w:val="16"/>
          <w:color w:val="auto"/>
        </w:rPr>
        <w:t xml:space="preserve"> Fax: +86 10 6569 3838</w:t>
      </w:r>
    </w:p>
    <w:p>
      <w:pPr>
        <w:spacing w:after="0" w:line="9" w:lineRule="exact"/>
        <w:rPr>
          <w:sz w:val="20"/>
          <w:szCs w:val="20"/>
          <w:color w:val="auto"/>
        </w:rPr>
      </w:pPr>
    </w:p>
    <w:p>
      <w:pPr>
        <w:jc w:val="center"/>
        <w:spacing w:after="0" w:line="184" w:lineRule="exact"/>
        <w:rPr>
          <w:sz w:val="20"/>
          <w:szCs w:val="20"/>
          <w:color w:val="auto"/>
        </w:rPr>
      </w:pPr>
      <w:r>
        <w:rPr>
          <w:rFonts w:ascii="SimSun" w:cs="SimSun" w:eastAsia="SimSun" w:hAnsi="SimSun"/>
          <w:sz w:val="14"/>
          <w:szCs w:val="14"/>
          <w:color w:val="auto"/>
          <w:highlight w:val="black"/>
        </w:rPr>
        <w:t>电邮</w:t>
      </w:r>
      <w:r>
        <w:rPr>
          <w:rFonts w:ascii="Times New Roman" w:cs="Times New Roman" w:eastAsia="Times New Roman" w:hAnsi="Times New Roman"/>
          <w:sz w:val="16"/>
          <w:szCs w:val="16"/>
          <w:color w:val="auto"/>
        </w:rPr>
        <w:t xml:space="preserve"> Email: beijing@tongshang.com </w:t>
      </w:r>
      <w:r>
        <w:rPr>
          <w:rFonts w:ascii="SimSun" w:cs="SimSun" w:eastAsia="SimSun" w:hAnsi="SimSun"/>
          <w:sz w:val="14"/>
          <w:szCs w:val="14"/>
          <w:color w:val="auto"/>
          <w:highlight w:val="black"/>
        </w:rPr>
        <w:t>网址</w:t>
      </w:r>
      <w:r>
        <w:rPr>
          <w:rFonts w:ascii="Times New Roman" w:cs="Times New Roman" w:eastAsia="Times New Roman" w:hAnsi="Times New Roman"/>
          <w:sz w:val="16"/>
          <w:szCs w:val="16"/>
          <w:color w:val="auto"/>
        </w:rPr>
        <w:t xml:space="preserve"> Web: www.tongshang.com</w:t>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April 19,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49/F, Building T1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Qianhai Financial Centre, Linhai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Qianhai Shenzhen-Hong Kong Cooperation Zone, Shenzhen 518000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People’s Republic of China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 </w:t>
      </w:r>
      <w:r>
        <w:rPr>
          <w:rFonts w:ascii="Times New Roman" w:cs="Times New Roman" w:eastAsia="Times New Roman" w:hAnsi="Times New Roman"/>
          <w:sz w:val="16"/>
          <w:szCs w:val="16"/>
          <w:u w:val="single" w:color="auto"/>
          <w:color w:val="auto"/>
        </w:rPr>
        <w:t>Consent of Commerce &amp; Finance Law Offices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We hereby consent to the use of our firm name and summaries of our firm’s opinions under the headings “ITEM 4. Information on the Company—C. Organizational Structure” and “ITEM 10. Additional Information—E. Taxation—People’s Republic of China Taxation” in the annual report on Form 20-F of Huize Holding Limited (the “Company”) for the Company’s fiscal year ended December 31, 2022 to be filed with the U.S. Securities and Exchange Commission (the “SEC”) in the month of April, 2023 (the “Form 20-F”), and we further consent to the incorporation by reference of the summary of our opinions under these headings into the Company’s registration statements on Form S-8 (File No. 333-238148) that was filed on May 11, 2020 and Form S-8 (File No. 333-269596) that was filed on February 6,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also hereby consent to the filing of this consent letter as an exhibit to the Form 20-F.</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giving such consent, we do not thereby admit that we fall within the category of the person whose consent is required under Section7 of the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Act of 1933, as amended, or the regulation promulgated thereunder.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 Text Below]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Yours sincerely,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Commerce &amp; Finance Law Offices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Commerce &amp; Finance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249428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2494280" cy="7620"/>
                    </a:xfrm>
                    <a:prstGeom prst="rect">
                      <a:avLst/>
                    </a:prstGeom>
                    <a:noFill/>
                  </pic:spPr>
                </pic:pic>
              </a:graphicData>
            </a:graphic>
          </wp:anchor>
        </w:drawing>
      </w:r>
    </w:p>
    <w:sectPr>
      <w:pgSz w:w="11900" w:h="16838" w:orient="portrait"/>
      <w:cols w:equalWidth="0" w:num="1">
        <w:col w:w="9840"/>
      </w:cols>
      <w:pgMar w:left="1020" w:top="121"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1)"/>
      <w:numFmt w:val="lowerRoman"/>
      <w:start w:val="1"/>
    </w:lvl>
  </w:abstractNum>
  <w:abstractNum w:abstractNumId="8">
    <w:nsid w:val="885E1B"/>
    <w:multiLevelType w:val="hybridMultilevel"/>
    <w:lvl w:ilvl="0">
      <w:lvlJc w:val="left"/>
      <w:lvlText w:val="(%1)"/>
      <w:numFmt w:val="lowerRoman"/>
      <w:start w:val="3"/>
    </w:lvl>
  </w:abstractNum>
  <w:abstractNum w:abstractNumId="9">
    <w:nsid w:val="76272110"/>
    <w:multiLevelType w:val="hybridMultilevel"/>
    <w:lvl w:ilvl="0">
      <w:lvlJc w:val="left"/>
      <w:lvlText w:val="(%1)"/>
      <w:numFmt w:val="decimal"/>
      <w:start w:val="1"/>
    </w:lvl>
  </w:abstractNum>
  <w:abstractNum w:abstractNumId="10">
    <w:nsid w:val="4C04A8AF"/>
    <w:multiLevelType w:val="hybridMultilevel"/>
    <w:lvl w:ilvl="0">
      <w:lvlJc w:val="left"/>
      <w:lvlText w:val="(%1)"/>
      <w:numFmt w:val="lowerRoman"/>
      <w:start w:val="2"/>
    </w:lvl>
  </w:abstractNum>
  <w:abstractNum w:abstractNumId="11">
    <w:nsid w:val="1716703B"/>
    <w:multiLevelType w:val="hybridMultilevel"/>
    <w:lvl w:ilvl="0">
      <w:lvlJc w:val="left"/>
      <w:lvlText w:val="(%1)"/>
      <w:numFmt w:val="decimal"/>
      <w:start w:val="1"/>
    </w:lvl>
  </w:abstractNum>
  <w:abstractNum w:abstractNumId="12">
    <w:nsid w:val="14E17E33"/>
    <w:multiLevelType w:val="hybridMultilevel"/>
    <w:lvl w:ilvl="0">
      <w:lvlJc w:val="left"/>
      <w:lvlText w:val="(%1)"/>
      <w:numFmt w:val="lowerRoman"/>
      <w:start w:val="1"/>
    </w:lvl>
  </w:abstractNum>
  <w:abstractNum w:abstractNumId="13">
    <w:nsid w:val="3222E7CD"/>
    <w:multiLevelType w:val="hybridMultilevel"/>
    <w:lvl w:ilvl="0">
      <w:lvlJc w:val="left"/>
      <w:lvlText w:val="(%1)"/>
      <w:numFmt w:val="lowerRoman"/>
      <w:start w:val="2"/>
    </w:lvl>
  </w:abstractNum>
  <w:abstractNum w:abstractNumId="14">
    <w:nsid w:val="74DE0EE3"/>
    <w:multiLevelType w:val="hybridMultilevel"/>
    <w:lvl w:ilvl="0">
      <w:lvlJc w:val="left"/>
      <w:lvlText w:val="(%1)"/>
      <w:numFmt w:val="decimal"/>
      <w:start w:val="1"/>
    </w:lvl>
  </w:abstractNum>
  <w:abstractNum w:abstractNumId="15">
    <w:nsid w:val="68EBC550"/>
    <w:multiLevelType w:val="hybridMultilevel"/>
    <w:lvl w:ilvl="0">
      <w:lvlJc w:val="left"/>
      <w:lvlText w:val="%1."/>
      <w:numFmt w:val="upperLetter"/>
      <w:start w:val="3"/>
    </w:lvl>
  </w:abstractNum>
  <w:abstractNum w:abstractNumId="16">
    <w:nsid w:val="2DF6D648"/>
    <w:multiLevelType w:val="hybridMultilevel"/>
    <w:lvl w:ilvl="0">
      <w:lvlJc w:val="left"/>
      <w:lvlText w:val="%1."/>
      <w:numFmt w:val="upperLetter"/>
      <w:start w:val="4"/>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
      <w:numFmt w:val="bullet"/>
      <w:start w:val="1"/>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1)"/>
      <w:numFmt w:val="lowerRoman"/>
      <w:start w:val="3"/>
    </w:lvl>
  </w:abstractNum>
  <w:abstractNum w:abstractNumId="27">
    <w:nsid w:val="7055A5F5"/>
    <w:multiLevelType w:val="hybridMultilevel"/>
    <w:lvl w:ilvl="0">
      <w:lvlJc w:val="left"/>
      <w:lvlText w:val="(%1)"/>
      <w:numFmt w:val="lowerRoman"/>
      <w:start w:val="1"/>
    </w:lvl>
  </w:abstractNum>
  <w:abstractNum w:abstractNumId="28">
    <w:nsid w:val="5FB8370B"/>
    <w:multiLevelType w:val="hybridMultilevel"/>
    <w:lvl w:ilvl="0">
      <w:lvlJc w:val="left"/>
      <w:lvlText w:val="(%1)"/>
      <w:numFmt w:val="lowerRoman"/>
      <w:start w:val="2"/>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1)"/>
      <w:numFmt w:val="lowerRoman"/>
      <w:start w:val="3"/>
    </w:lvl>
  </w:abstractNum>
  <w:abstractNum w:abstractNumId="32">
    <w:nsid w:val="6AA78F7F"/>
    <w:multiLevelType w:val="hybridMultilevel"/>
    <w:lvl w:ilvl="0">
      <w:lvlJc w:val="left"/>
      <w:lvlText w:val="•"/>
      <w:numFmt w:val="bullet"/>
      <w:start w:val="1"/>
    </w:lvl>
  </w:abstractNum>
  <w:abstractNum w:abstractNumId="33">
    <w:nsid w:val="7672BD23"/>
    <w:multiLevelType w:val="hybridMultilevel"/>
    <w:lvl w:ilvl="0">
      <w:lvlJc w:val="left"/>
      <w:lvlText w:val="•"/>
      <w:numFmt w:val="bullet"/>
      <w:start w:val="1"/>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
      <w:numFmt w:val="bullet"/>
      <w:start w:val="1"/>
    </w:lvl>
  </w:abstractNum>
  <w:abstractNum w:abstractNumId="36">
    <w:nsid w:val="7D5E18F8"/>
    <w:multiLevelType w:val="hybridMultilevel"/>
    <w:lvl w:ilvl="0">
      <w:lvlJc w:val="left"/>
      <w:lvlText w:val="•"/>
      <w:numFmt w:val="bullet"/>
      <w:start w:val="1"/>
    </w:lvl>
  </w:abstractNum>
  <w:abstractNum w:abstractNumId="37">
    <w:nsid w:val="5F3534A4"/>
    <w:multiLevelType w:val="hybridMultilevel"/>
    <w:lvl w:ilvl="0">
      <w:lvlJc w:val="left"/>
      <w:lvlText w:val="•"/>
      <w:numFmt w:val="bullet"/>
      <w:start w:val="1"/>
    </w:lvl>
  </w:abstractNum>
  <w:abstractNum w:abstractNumId="38">
    <w:nsid w:val="73A1821B"/>
    <w:multiLevelType w:val="hybridMultilevel"/>
    <w:lvl w:ilvl="0">
      <w:lvlJc w:val="left"/>
      <w:lvlText w:val="•"/>
      <w:numFmt w:val="bullet"/>
      <w:start w:val="1"/>
    </w:lvl>
  </w:abstractNum>
  <w:abstractNum w:abstractNumId="39">
    <w:nsid w:val="7DE67713"/>
    <w:multiLevelType w:val="hybridMultilevel"/>
    <w:lvl w:ilvl="0">
      <w:lvlJc w:val="left"/>
      <w:lvlText w:val="%1."/>
      <w:numFmt w:val="upperLetter"/>
      <w:start w:val="1"/>
    </w:lvl>
  </w:abstractNum>
  <w:abstractNum w:abstractNumId="40">
    <w:nsid w:val="555C55B5"/>
    <w:multiLevelType w:val="hybridMultilevel"/>
    <w:lvl w:ilvl="0">
      <w:lvlJc w:val="left"/>
      <w:lvlText w:val="(%1)"/>
      <w:numFmt w:val="lowerRoman"/>
      <w:start w:val="1"/>
    </w:lvl>
  </w:abstractNum>
  <w:abstractNum w:abstractNumId="41">
    <w:nsid w:val="3FA62ACA"/>
    <w:multiLevelType w:val="hybridMultilevel"/>
    <w:lvl w:ilvl="0">
      <w:lvlJc w:val="left"/>
      <w:lvlText w:val="%1."/>
      <w:numFmt w:val="upperLetter"/>
      <w:start w:val="2"/>
    </w:lvl>
  </w:abstractNum>
  <w:abstractNum w:abstractNumId="42">
    <w:nsid w:val="14FCE74E"/>
    <w:multiLevelType w:val="hybridMultilevel"/>
    <w:lvl w:ilvl="0">
      <w:lvlJc w:val="left"/>
      <w:lvlText w:val="(%1)"/>
      <w:numFmt w:val="decimal"/>
      <w:start w:val="1"/>
    </w:lvl>
  </w:abstractNum>
  <w:abstractNum w:abstractNumId="43">
    <w:nsid w:val="6A3DD3E8"/>
    <w:multiLevelType w:val="hybridMultilevel"/>
    <w:lvl w:ilvl="0">
      <w:lvlJc w:val="left"/>
      <w:lvlText w:val="•"/>
      <w:numFmt w:val="bullet"/>
      <w:start w:val="1"/>
    </w:lvl>
  </w:abstractNum>
  <w:abstractNum w:abstractNumId="44">
    <w:nsid w:val="71C91298"/>
    <w:multiLevelType w:val="hybridMultilevel"/>
    <w:lvl w:ilvl="0">
      <w:lvlJc w:val="left"/>
      <w:lvlText w:val="•"/>
      <w:numFmt w:val="bullet"/>
      <w:start w:val="1"/>
    </w:lvl>
  </w:abstractNum>
  <w:abstractNum w:abstractNumId="45">
    <w:nsid w:val="9DAF632"/>
    <w:multiLevelType w:val="hybridMultilevel"/>
    <w:lvl w:ilvl="0">
      <w:lvlJc w:val="left"/>
      <w:lvlText w:val="•"/>
      <w:numFmt w:val="bullet"/>
      <w:start w:val="1"/>
    </w:lvl>
  </w:abstractNum>
  <w:abstractNum w:abstractNumId="46">
    <w:nsid w:val="53299938"/>
    <w:multiLevelType w:val="hybridMultilevel"/>
    <w:lvl w:ilvl="0">
      <w:lvlJc w:val="left"/>
      <w:lvlText w:val="(%1)"/>
      <w:numFmt w:val="decimal"/>
      <w:start w:val="2"/>
    </w:lvl>
  </w:abstractNum>
  <w:abstractNum w:abstractNumId="47">
    <w:nsid w:val="1FBFE8E0"/>
    <w:multiLevelType w:val="hybridMultilevel"/>
    <w:lvl w:ilvl="0">
      <w:lvlJc w:val="left"/>
      <w:lvlText w:val="•"/>
      <w:numFmt w:val="bullet"/>
      <w:start w:val="1"/>
    </w:lvl>
  </w:abstractNum>
  <w:abstractNum w:abstractNumId="48">
    <w:nsid w:val="5092CA79"/>
    <w:multiLevelType w:val="hybridMultilevel"/>
    <w:lvl w:ilvl="0">
      <w:lvlJc w:val="left"/>
      <w:lvlText w:val="•"/>
      <w:numFmt w:val="bullet"/>
      <w:start w:val="1"/>
    </w:lvl>
  </w:abstractNum>
  <w:abstractNum w:abstractNumId="49">
    <w:nsid w:val="1D545C4D"/>
    <w:multiLevelType w:val="hybridMultilevel"/>
    <w:lvl w:ilvl="0">
      <w:lvlJc w:val="left"/>
      <w:lvlText w:val="•"/>
      <w:numFmt w:val="bullet"/>
      <w:start w:val="1"/>
    </w:lvl>
  </w:abstractNum>
  <w:abstractNum w:abstractNumId="50">
    <w:nsid w:val="59ADEA3D"/>
    <w:multiLevelType w:val="hybridMultilevel"/>
    <w:lvl w:ilvl="0">
      <w:lvlJc w:val="left"/>
      <w:lvlText w:val="•"/>
      <w:numFmt w:val="bullet"/>
      <w:start w:val="1"/>
    </w:lvl>
  </w:abstractNum>
  <w:abstractNum w:abstractNumId="51">
    <w:nsid w:val="288F1A34"/>
    <w:multiLevelType w:val="hybridMultilevel"/>
    <w:lvl w:ilvl="0">
      <w:lvlJc w:val="left"/>
      <w:lvlText w:val="(%1)"/>
      <w:numFmt w:val="lowerRoman"/>
      <w:start w:val="2"/>
    </w:lvl>
  </w:abstractNum>
  <w:abstractNum w:abstractNumId="52">
    <w:nsid w:val="2A155DBC"/>
    <w:multiLevelType w:val="hybridMultilevel"/>
    <w:lvl w:ilvl="0">
      <w:lvlJc w:val="left"/>
      <w:lvlText w:val="•"/>
      <w:numFmt w:val="bullet"/>
      <w:start w:val="1"/>
    </w:lvl>
  </w:abstractNum>
  <w:abstractNum w:abstractNumId="53">
    <w:nsid w:val="1D9F6E5F"/>
    <w:multiLevelType w:val="hybridMultilevel"/>
    <w:lvl w:ilvl="0">
      <w:lvlJc w:val="left"/>
      <w:lvlText w:val="•"/>
      <w:numFmt w:val="bullet"/>
      <w:start w:val="1"/>
    </w:lvl>
  </w:abstractNum>
  <w:abstractNum w:abstractNumId="54">
    <w:nsid w:val="97E1B4E"/>
    <w:multiLevelType w:val="hybridMultilevel"/>
    <w:lvl w:ilvl="0">
      <w:lvlJc w:val="left"/>
      <w:lvlText w:val="(%1)"/>
      <w:numFmt w:val="lowerRoman"/>
      <w:start w:val="2"/>
    </w:lvl>
  </w:abstractNum>
  <w:abstractNum w:abstractNumId="55">
    <w:nsid w:val="51088277"/>
    <w:multiLevelType w:val="hybridMultilevel"/>
    <w:lvl w:ilvl="0">
      <w:lvlJc w:val="left"/>
      <w:lvlText w:val="(%1)"/>
      <w:numFmt w:val="lowerRoman"/>
      <w:start w:val="5"/>
    </w:lvl>
  </w:abstractNum>
  <w:abstractNum w:abstractNumId="56">
    <w:nsid w:val="1CA0C5FA"/>
    <w:multiLevelType w:val="hybridMultilevel"/>
    <w:lvl w:ilvl="0">
      <w:lvlJc w:val="left"/>
      <w:lvlText w:val="(%1)"/>
      <w:numFmt w:val="lowerRoman"/>
      <w:start w:val="2"/>
    </w:lvl>
  </w:abstractNum>
  <w:abstractNum w:abstractNumId="57">
    <w:nsid w:val="53584BCB"/>
    <w:multiLevelType w:val="hybridMultilevel"/>
    <w:lvl w:ilvl="0">
      <w:lvlJc w:val="left"/>
      <w:lvlText w:val="(%1)"/>
      <w:numFmt w:val="lowerRoman"/>
      <w:start w:val="1"/>
    </w:lvl>
  </w:abstractNum>
  <w:abstractNum w:abstractNumId="58">
    <w:nsid w:val="415E286C"/>
    <w:multiLevelType w:val="hybridMultilevel"/>
    <w:lvl w:ilvl="0">
      <w:lvlJc w:val="left"/>
      <w:lvlText w:val="(%1)"/>
      <w:numFmt w:val="lowerRoman"/>
      <w:start w:val="3"/>
    </w:lvl>
  </w:abstractNum>
  <w:abstractNum w:abstractNumId="59">
    <w:nsid w:val="7C58FD05"/>
    <w:multiLevelType w:val="hybridMultilevel"/>
    <w:lvl w:ilvl="0">
      <w:lvlJc w:val="left"/>
      <w:lvlText w:val="(%1)"/>
      <w:numFmt w:val="lowerRoman"/>
      <w:start w:val="1"/>
    </w:lvl>
  </w:abstractNum>
  <w:abstractNum w:abstractNumId="60">
    <w:nsid w:val="23D86AAC"/>
    <w:multiLevelType w:val="hybridMultilevel"/>
    <w:lvl w:ilvl="0">
      <w:lvlJc w:val="left"/>
      <w:lvlText w:val="(%1)"/>
      <w:numFmt w:val="lowerRoman"/>
      <w:start w:val="2"/>
    </w:lvl>
  </w:abstractNum>
  <w:abstractNum w:abstractNumId="61">
    <w:nsid w:val="45E6D486"/>
    <w:multiLevelType w:val="hybridMultilevel"/>
    <w:lvl w:ilvl="0">
      <w:lvlJc w:val="left"/>
      <w:lvlText w:val="(%1)"/>
      <w:numFmt w:val="lowerRoman"/>
      <w:start w:val="5"/>
    </w:lvl>
  </w:abstractNum>
  <w:abstractNum w:abstractNumId="62">
    <w:nsid w:val="5C10FE21"/>
    <w:multiLevelType w:val="hybridMultilevel"/>
    <w:lvl w:ilvl="0">
      <w:lvlJc w:val="left"/>
      <w:lvlText w:val="(%1)"/>
      <w:numFmt w:val="lowerRoman"/>
      <w:start w:val="6"/>
    </w:lvl>
  </w:abstractNum>
  <w:abstractNum w:abstractNumId="63">
    <w:nsid w:val="E7FFA2B"/>
    <w:multiLevelType w:val="hybridMultilevel"/>
    <w:lvl w:ilvl="0">
      <w:lvlJc w:val="left"/>
      <w:lvlText w:val="(%1)"/>
      <w:numFmt w:val="lowerRoman"/>
      <w:start w:val="3"/>
    </w:lvl>
  </w:abstractNum>
  <w:abstractNum w:abstractNumId="64">
    <w:nsid w:val="3C5991AA"/>
    <w:multiLevelType w:val="hybridMultilevel"/>
    <w:lvl w:ilvl="0">
      <w:lvlJc w:val="left"/>
      <w:lvlText w:val="(%1)"/>
      <w:numFmt w:val="lowerRoman"/>
      <w:start w:val="2"/>
    </w:lvl>
  </w:abstractNum>
  <w:abstractNum w:abstractNumId="65">
    <w:nsid w:val="4BD8591A"/>
    <w:multiLevelType w:val="hybridMultilevel"/>
    <w:lvl w:ilvl="0">
      <w:lvlJc w:val="left"/>
      <w:lvlText w:val="(%1)"/>
      <w:numFmt w:val="lowerRoman"/>
      <w:start w:val="2"/>
    </w:lvl>
  </w:abstractNum>
  <w:abstractNum w:abstractNumId="66">
    <w:nsid w:val="78DF6A55"/>
    <w:multiLevelType w:val="hybridMultilevel"/>
    <w:lvl w:ilvl="0">
      <w:lvlJc w:val="left"/>
      <w:lvlText w:val="(%1)"/>
      <w:numFmt w:val="lowerRoman"/>
      <w:start w:val="2"/>
    </w:lvl>
  </w:abstractNum>
  <w:abstractNum w:abstractNumId="67">
    <w:nsid w:val="39B7AAA2"/>
    <w:multiLevelType w:val="hybridMultilevel"/>
    <w:lvl w:ilvl="0">
      <w:lvlJc w:val="left"/>
      <w:lvlText w:val="%1."/>
      <w:numFmt w:val="upperLetter"/>
      <w:start w:val="3"/>
    </w:lvl>
  </w:abstractNum>
  <w:abstractNum w:abstractNumId="68">
    <w:nsid w:val="2B0D8DBE"/>
    <w:multiLevelType w:val="hybridMultilevel"/>
    <w:lvl w:ilvl="0">
      <w:lvlJc w:val="left"/>
      <w:lvlText w:val="(%1)"/>
      <w:numFmt w:val="decimal"/>
      <w:start w:val="1"/>
    </w:lvl>
  </w:abstractNum>
  <w:abstractNum w:abstractNumId="69">
    <w:nsid w:val="6C80EC70"/>
    <w:multiLevelType w:val="hybridMultilevel"/>
    <w:lvl w:ilvl="0">
      <w:lvlJc w:val="left"/>
      <w:lvlText w:val="•"/>
      <w:numFmt w:val="bullet"/>
      <w:start w:val="1"/>
    </w:lvl>
  </w:abstractNum>
  <w:abstractNum w:abstractNumId="70">
    <w:nsid w:val="379E21B5"/>
    <w:multiLevelType w:val="hybridMultilevel"/>
    <w:lvl w:ilvl="0">
      <w:lvlJc w:val="left"/>
      <w:lvlText w:val="%1."/>
      <w:numFmt w:val="upperLetter"/>
      <w:start w:val="4"/>
    </w:lvl>
  </w:abstractNum>
  <w:abstractNum w:abstractNumId="71">
    <w:nsid w:val="69E373"/>
    <w:multiLevelType w:val="hybridMultilevel"/>
    <w:lvl w:ilvl="0">
      <w:lvlJc w:val="left"/>
      <w:lvlText w:val="%1."/>
      <w:numFmt w:val="upperLetter"/>
      <w:start w:val="1"/>
    </w:lvl>
  </w:abstractNum>
  <w:abstractNum w:abstractNumId="72">
    <w:nsid w:val="2C27173B"/>
    <w:multiLevelType w:val="hybridMultilevel"/>
    <w:lvl w:ilvl="0">
      <w:lvlJc w:val="left"/>
      <w:lvlText w:val="(%1)"/>
      <w:numFmt w:val="lowerRoman"/>
      <w:start w:val="3"/>
    </w:lvl>
  </w:abstractNum>
  <w:abstractNum w:abstractNumId="73">
    <w:nsid w:val="4C9B0904"/>
    <w:multiLevelType w:val="hybridMultilevel"/>
    <w:lvl w:ilvl="0">
      <w:lvlJc w:val="left"/>
      <w:lvlText w:val="(%1)"/>
      <w:numFmt w:val="decimal"/>
      <w:start w:val="1"/>
    </w:lvl>
  </w:abstractNum>
  <w:abstractNum w:abstractNumId="74">
    <w:nsid w:val="6AA7B75C"/>
    <w:multiLevelType w:val="hybridMultilevel"/>
    <w:lvl w:ilvl="0">
      <w:lvlJc w:val="left"/>
      <w:lvlText w:val="%1."/>
      <w:numFmt w:val="upperLetter"/>
      <w:start w:val="2"/>
    </w:lvl>
  </w:abstractNum>
  <w:abstractNum w:abstractNumId="75">
    <w:nsid w:val="1DF029D3"/>
    <w:multiLevelType w:val="hybridMultilevel"/>
    <w:lvl w:ilvl="0">
      <w:lvlJc w:val="left"/>
      <w:lvlText w:val="%1."/>
      <w:numFmt w:val="upperLetter"/>
      <w:start w:val="3"/>
    </w:lvl>
  </w:abstractNum>
  <w:abstractNum w:abstractNumId="76">
    <w:nsid w:val="5675FF36"/>
    <w:multiLevelType w:val="hybridMultilevel"/>
    <w:lvl w:ilvl="0">
      <w:lvlJc w:val="left"/>
      <w:lvlText w:val="%1."/>
      <w:numFmt w:val="upperLetter"/>
      <w:start w:val="5"/>
    </w:lvl>
  </w:abstractNum>
  <w:abstractNum w:abstractNumId="77">
    <w:nsid w:val="3DD15094"/>
    <w:multiLevelType w:val="hybridMultilevel"/>
    <w:lvl w:ilvl="0">
      <w:lvlJc w:val="left"/>
      <w:lvlText w:val="%1."/>
      <w:numFmt w:val="upperLetter"/>
      <w:start w:val="1"/>
    </w:lvl>
  </w:abstractNum>
  <w:abstractNum w:abstractNumId="78">
    <w:nsid w:val="3DB012B3"/>
    <w:multiLevelType w:val="hybridMultilevel"/>
    <w:lvl w:ilvl="0">
      <w:lvlJc w:val="left"/>
      <w:lvlText w:val="%1."/>
      <w:numFmt w:val="upperLetter"/>
      <w:start w:val="2"/>
    </w:lvl>
  </w:abstractNum>
  <w:abstractNum w:abstractNumId="79">
    <w:nsid w:val="2708C9AF"/>
    <w:multiLevelType w:val="hybridMultilevel"/>
    <w:lvl w:ilvl="0">
      <w:lvlJc w:val="left"/>
      <w:lvlText w:val="(%1)"/>
      <w:numFmt w:val="lowerRoman"/>
      <w:start w:val="2"/>
    </w:lvl>
  </w:abstractNum>
  <w:abstractNum w:abstractNumId="80">
    <w:nsid w:val="5B25ACE2"/>
    <w:multiLevelType w:val="hybridMultilevel"/>
    <w:lvl w:ilvl="0">
      <w:lvlJc w:val="left"/>
      <w:lvlText w:val="%1."/>
      <w:numFmt w:val="upperLetter"/>
      <w:start w:val="3"/>
    </w:lvl>
  </w:abstractNum>
  <w:abstractNum w:abstractNumId="81">
    <w:nsid w:val="175DFCF0"/>
    <w:multiLevelType w:val="hybridMultilevel"/>
    <w:lvl w:ilvl="0">
      <w:lvlJc w:val="left"/>
      <w:lvlText w:val="•"/>
      <w:numFmt w:val="bullet"/>
      <w:start w:val="1"/>
    </w:lvl>
  </w:abstractNum>
  <w:abstractNum w:abstractNumId="82">
    <w:nsid w:val="4F97E3E4"/>
    <w:multiLevelType w:val="hybridMultilevel"/>
    <w:lvl w:ilvl="0">
      <w:lvlJc w:val="left"/>
      <w:lvlText w:val="•"/>
      <w:numFmt w:val="bullet"/>
      <w:start w:val="1"/>
    </w:lvl>
  </w:abstractNum>
  <w:abstractNum w:abstractNumId="83">
    <w:nsid w:val="53B0A9E"/>
    <w:multiLevelType w:val="hybridMultilevel"/>
    <w:lvl w:ilvl="0">
      <w:lvlJc w:val="left"/>
      <w:lvlText w:val="•"/>
      <w:numFmt w:val="bullet"/>
      <w:start w:val="1"/>
    </w:lvl>
  </w:abstractNum>
  <w:abstractNum w:abstractNumId="84">
    <w:nsid w:val="34FD6B4F"/>
    <w:multiLevelType w:val="hybridMultilevel"/>
    <w:lvl w:ilvl="0">
      <w:lvlJc w:val="left"/>
      <w:lvlText w:val="•"/>
      <w:numFmt w:val="bullet"/>
      <w:start w:val="1"/>
    </w:lvl>
  </w:abstractNum>
  <w:abstractNum w:abstractNumId="85">
    <w:nsid w:val="5915FF32"/>
    <w:multiLevelType w:val="hybridMultilevel"/>
    <w:lvl w:ilvl="0">
      <w:lvlJc w:val="left"/>
      <w:lvlText w:val="•"/>
      <w:numFmt w:val="bullet"/>
      <w:start w:val="1"/>
    </w:lvl>
  </w:abstractNum>
  <w:abstractNum w:abstractNumId="86">
    <w:nsid w:val="56438D15"/>
    <w:multiLevelType w:val="hybridMultilevel"/>
    <w:lvl w:ilvl="0">
      <w:lvlJc w:val="left"/>
      <w:lvlText w:val="•"/>
      <w:numFmt w:val="bullet"/>
      <w:start w:val="1"/>
    </w:lvl>
  </w:abstractNum>
  <w:abstractNum w:abstractNumId="87">
    <w:nsid w:val="519E3149"/>
    <w:multiLevelType w:val="hybridMultilevel"/>
    <w:lvl w:ilvl="0">
      <w:lvlJc w:val="left"/>
      <w:lvlText w:val="*"/>
      <w:numFmt w:val="bullet"/>
      <w:start w:val="1"/>
    </w:lvl>
  </w:abstractNum>
  <w:abstractNum w:abstractNumId="88">
    <w:nsid w:val="2C6E4AFD"/>
    <w:multiLevelType w:val="hybridMultilevel"/>
    <w:lvl w:ilvl="0">
      <w:lvlJc w:val="left"/>
      <w:lvlText w:val="**"/>
      <w:numFmt w:val="bullet"/>
      <w:start w:val="1"/>
    </w:lvl>
  </w:abstractNum>
  <w:abstractNum w:abstractNumId="89">
    <w:nsid w:val="17A1B582"/>
    <w:multiLevelType w:val="hybridMultilevel"/>
    <w:lvl w:ilvl="0">
      <w:lvlJc w:val="left"/>
      <w:lvlText w:val="†"/>
      <w:numFmt w:val="bullet"/>
      <w:start w:val="1"/>
    </w:lvl>
  </w:abstractNum>
  <w:abstractNum w:abstractNumId="90">
    <w:nsid w:val="4DF72E4E"/>
    <w:multiLevelType w:val="hybridMultilevel"/>
    <w:lvl w:ilvl="0">
      <w:lvlJc w:val="left"/>
      <w:lvlText w:val="(%1)"/>
      <w:numFmt w:val="decimal"/>
      <w:start w:val="1"/>
    </w:lvl>
  </w:abstractNum>
  <w:abstractNum w:abstractNumId="91">
    <w:nsid w:val="5046B5A9"/>
    <w:multiLevelType w:val="hybridMultilevel"/>
    <w:lvl w:ilvl="0">
      <w:lvlJc w:val="left"/>
      <w:lvlText w:val="(%1)"/>
      <w:numFmt w:val="decimal"/>
      <w:start w:val="5"/>
    </w:lvl>
  </w:abstractNum>
  <w:abstractNum w:abstractNumId="92">
    <w:nsid w:val="5D888A08"/>
    <w:multiLevelType w:val="hybridMultilevel"/>
    <w:lvl w:ilvl="0">
      <w:lvlJc w:val="left"/>
      <w:lvlText w:val="%1."/>
      <w:numFmt w:val="upperLetter"/>
      <w:start w:val="6"/>
    </w:lvl>
  </w:abstractNum>
  <w:abstractNum w:abstractNumId="93">
    <w:nsid w:val="2A082C70"/>
    <w:multiLevelType w:val="hybridMultilevel"/>
    <w:lvl w:ilvl="0">
      <w:lvlJc w:val="left"/>
      <w:lvlText w:val="%1."/>
      <w:numFmt w:val="upperLetter"/>
      <w:start w:val="1"/>
    </w:lvl>
  </w:abstractNum>
  <w:abstractNum w:abstractNumId="94">
    <w:nsid w:val="5EC6AFD4"/>
    <w:multiLevelType w:val="hybridMultilevel"/>
    <w:lvl w:ilvl="0">
      <w:lvlJc w:val="left"/>
      <w:lvlText w:val="(%1)"/>
      <w:numFmt w:val="decimal"/>
      <w:start w:val="90"/>
    </w:lvl>
  </w:abstractNum>
  <w:abstractNum w:abstractNumId="95">
    <w:nsid w:val="19E21BB2"/>
    <w:multiLevelType w:val="hybridMultilevel"/>
    <w:lvl w:ilvl="0">
      <w:lvlJc w:val="left"/>
      <w:lvlText w:val="%1."/>
      <w:numFmt w:val="upperLetter"/>
      <w:start w:val="3"/>
    </w:lvl>
  </w:abstractNum>
  <w:abstractNum w:abstractNumId="96">
    <w:nsid w:val="75E0858A"/>
    <w:multiLevelType w:val="hybridMultilevel"/>
    <w:lvl w:ilvl="0">
      <w:lvlJc w:val="left"/>
      <w:lvlText w:val="%1."/>
      <w:numFmt w:val="upperLetter"/>
      <w:start w:val="1"/>
    </w:lvl>
  </w:abstractNum>
  <w:abstractNum w:abstractNumId="97">
    <w:nsid w:val="57A61A29"/>
    <w:multiLevelType w:val="hybridMultilevel"/>
    <w:lvl w:ilvl="0">
      <w:lvlJc w:val="left"/>
      <w:lvlText w:val="%1."/>
      <w:numFmt w:val="upperLetter"/>
      <w:start w:val="2"/>
    </w:lvl>
  </w:abstractNum>
  <w:abstractNum w:abstractNumId="98">
    <w:nsid w:val="5399C654"/>
    <w:multiLevelType w:val="hybridMultilevel"/>
    <w:lvl w:ilvl="0">
      <w:lvlJc w:val="left"/>
      <w:lvlText w:val="%1."/>
      <w:numFmt w:val="upperLetter"/>
      <w:start w:val="1"/>
    </w:lvl>
  </w:abstractNum>
  <w:abstractNum w:abstractNumId="99">
    <w:nsid w:val="20EE1348"/>
    <w:multiLevelType w:val="hybridMultilevel"/>
    <w:lvl w:ilvl="0">
      <w:lvlJc w:val="left"/>
      <w:lvlText w:val="%1."/>
      <w:numFmt w:val="upperLetter"/>
      <w:start w:val="2"/>
    </w:lvl>
  </w:abstractNum>
  <w:abstractNum w:abstractNumId="100">
    <w:nsid w:val="4427069A"/>
    <w:multiLevelType w:val="hybridMultilevel"/>
    <w:lvl w:ilvl="0">
      <w:lvlJc w:val="left"/>
      <w:lvlText w:val="%1."/>
      <w:numFmt w:val="upperLetter"/>
      <w:start w:val="4"/>
    </w:lvl>
  </w:abstractNum>
  <w:abstractNum w:abstractNumId="101">
    <w:nsid w:val="B37E80A"/>
    <w:multiLevelType w:val="hybridMultilevel"/>
    <w:lvl w:ilvl="0">
      <w:lvlJc w:val="left"/>
      <w:lvlText w:val="%1."/>
      <w:numFmt w:val="upperLetter"/>
      <w:start w:val="1"/>
    </w:lvl>
  </w:abstractNum>
  <w:abstractNum w:abstractNumId="102">
    <w:nsid w:val="2157F6BC"/>
    <w:multiLevelType w:val="hybridMultilevel"/>
    <w:lvl w:ilvl="0">
      <w:lvlJc w:val="left"/>
      <w:lvlText w:val="•"/>
      <w:numFmt w:val="bullet"/>
      <w:start w:val="1"/>
    </w:lvl>
  </w:abstractNum>
  <w:abstractNum w:abstractNumId="103">
    <w:nsid w:val="704E1DD5"/>
    <w:multiLevelType w:val="hybridMultilevel"/>
    <w:lvl w:ilvl="0">
      <w:lvlJc w:val="left"/>
      <w:lvlText w:val="(%1)"/>
      <w:numFmt w:val="lowerLetter"/>
      <w:start w:val="1"/>
    </w:lvl>
  </w:abstractNum>
  <w:abstractNum w:abstractNumId="104">
    <w:nsid w:val="57D2F10E"/>
    <w:multiLevelType w:val="hybridMultilevel"/>
    <w:lvl w:ilvl="0">
      <w:lvlJc w:val="left"/>
      <w:lvlText w:val="•"/>
      <w:numFmt w:val="bullet"/>
      <w:start w:val="1"/>
    </w:lvl>
  </w:abstractNum>
  <w:abstractNum w:abstractNumId="105">
    <w:nsid w:val="BFFAE18"/>
    <w:multiLevelType w:val="hybridMultilevel"/>
    <w:lvl w:ilvl="0">
      <w:lvlJc w:val="left"/>
      <w:lvlText w:val="•"/>
      <w:numFmt w:val="bullet"/>
      <w:start w:val="1"/>
    </w:lvl>
  </w:abstractNum>
  <w:abstractNum w:abstractNumId="106">
    <w:nsid w:val="E3E47A8"/>
    <w:multiLevelType w:val="hybridMultilevel"/>
    <w:lvl w:ilvl="0">
      <w:lvlJc w:val="left"/>
      <w:lvlText w:val="•"/>
      <w:numFmt w:val="bullet"/>
      <w:start w:val="1"/>
    </w:lvl>
  </w:abstractNum>
  <w:abstractNum w:abstractNumId="107">
    <w:nsid w:val="2E48F044"/>
    <w:multiLevelType w:val="hybridMultilevel"/>
    <w:lvl w:ilvl="0">
      <w:lvlJc w:val="left"/>
      <w:lvlText w:val="%1."/>
      <w:numFmt w:val="upperLetter"/>
      <w:start w:val="3"/>
    </w:lvl>
  </w:abstractNum>
  <w:abstractNum w:abstractNumId="108">
    <w:nsid w:val="49D0FEAC"/>
    <w:multiLevelType w:val="hybridMultilevel"/>
    <w:lvl w:ilvl="0">
      <w:lvlJc w:val="left"/>
      <w:lvlText w:val="%1."/>
      <w:numFmt w:val="upperLetter"/>
      <w:start w:val="4"/>
    </w:lvl>
  </w:abstractNum>
  <w:abstractNum w:abstractNumId="109">
    <w:nsid w:val="4BEE5A5B"/>
    <w:multiLevelType w:val="hybridMultilevel"/>
    <w:lvl w:ilvl="0">
      <w:lvlJc w:val="left"/>
      <w:lvlText w:val="(%1)"/>
      <w:numFmt w:val="lowerRoman"/>
      <w:start w:val="1"/>
    </w:lvl>
  </w:abstractNum>
  <w:abstractNum w:abstractNumId="110">
    <w:nsid w:val="5551B9F3"/>
    <w:multiLevelType w:val="hybridMultilevel"/>
    <w:lvl w:ilvl="0">
      <w:lvlJc w:val="left"/>
      <w:lvlText w:val="•"/>
      <w:numFmt w:val="bullet"/>
      <w:start w:val="1"/>
    </w:lvl>
  </w:abstractNum>
  <w:abstractNum w:abstractNumId="111">
    <w:nsid w:val="24F6AB8E"/>
    <w:multiLevelType w:val="hybridMultilevel"/>
    <w:lvl w:ilvl="0">
      <w:lvlJc w:val="left"/>
      <w:lvlText w:val="•"/>
      <w:numFmt w:val="bullet"/>
      <w:start w:val="1"/>
    </w:lvl>
  </w:abstractNum>
  <w:abstractNum w:abstractNumId="112">
    <w:nsid w:val="634C574C"/>
    <w:multiLevelType w:val="hybridMultilevel"/>
    <w:lvl w:ilvl="0">
      <w:lvlJc w:val="left"/>
      <w:lvlText w:val="•"/>
      <w:numFmt w:val="bullet"/>
      <w:start w:val="1"/>
    </w:lvl>
  </w:abstractNum>
  <w:abstractNum w:abstractNumId="113">
    <w:nsid w:val="24E99DD7"/>
    <w:multiLevelType w:val="hybridMultilevel"/>
    <w:lvl w:ilvl="0">
      <w:lvlJc w:val="left"/>
      <w:lvlText w:val="•"/>
      <w:numFmt w:val="bullet"/>
      <w:start w:val="1"/>
    </w:lvl>
  </w:abstractNum>
  <w:abstractNum w:abstractNumId="114">
    <w:nsid w:val="2A31B62D"/>
    <w:multiLevelType w:val="hybridMultilevel"/>
    <w:lvl w:ilvl="0">
      <w:lvlJc w:val="left"/>
      <w:lvlText w:val="%1."/>
      <w:numFmt w:val="upperLetter"/>
      <w:start w:val="6"/>
    </w:lvl>
  </w:abstractNum>
  <w:abstractNum w:abstractNumId="115">
    <w:nsid w:val="1849C29B"/>
    <w:multiLevelType w:val="hybridMultilevel"/>
    <w:lvl w:ilvl="0">
      <w:lvlJc w:val="left"/>
      <w:lvlText w:val="%1."/>
      <w:numFmt w:val="upperLetter"/>
      <w:start w:val="9"/>
    </w:lvl>
  </w:abstractNum>
  <w:abstractNum w:abstractNumId="116">
    <w:nsid w:val="7DFF9D09"/>
    <w:multiLevelType w:val="hybridMultilevel"/>
    <w:lvl w:ilvl="0">
      <w:lvlJc w:val="left"/>
      <w:lvlText w:val="%1."/>
      <w:numFmt w:val="upperLetter"/>
      <w:start w:val="1"/>
    </w:lvl>
  </w:abstractNum>
  <w:abstractNum w:abstractNumId="117">
    <w:nsid w:val="754342"/>
    <w:multiLevelType w:val="hybridMultilevel"/>
    <w:lvl w:ilvl="0">
      <w:lvlJc w:val="left"/>
      <w:lvlText w:val="%1."/>
      <w:numFmt w:val="upperLetter"/>
      <w:start w:val="4"/>
    </w:lvl>
  </w:abstractNum>
  <w:abstractNum w:abstractNumId="118">
    <w:nsid w:val="69E7F3E5"/>
    <w:multiLevelType w:val="hybridMultilevel"/>
    <w:lvl w:ilvl="0">
      <w:lvlJc w:val="left"/>
      <w:lvlText w:val="•"/>
      <w:numFmt w:val="bullet"/>
      <w:start w:val="1"/>
    </w:lvl>
  </w:abstractNum>
  <w:abstractNum w:abstractNumId="119">
    <w:nsid w:val="2A6DE806"/>
    <w:multiLevelType w:val="hybridMultilevel"/>
    <w:lvl w:ilvl="0">
      <w:lvlJc w:val="left"/>
      <w:lvlText w:val="(%1)"/>
      <w:numFmt w:val="lowerRoman"/>
      <w:start w:val="1"/>
    </w:lvl>
  </w:abstractNum>
  <w:abstractNum w:abstractNumId="120">
    <w:nsid w:val="1816F8C4"/>
    <w:multiLevelType w:val="hybridMultilevel"/>
    <w:lvl w:ilvl="0">
      <w:lvlJc w:val="left"/>
      <w:lvlText w:val="(%1)"/>
      <w:numFmt w:val="decimal"/>
      <w:start w:val="2"/>
    </w:lvl>
  </w:abstractNum>
  <w:abstractNum w:abstractNumId="121">
    <w:nsid w:val="37DF2233"/>
    <w:multiLevelType w:val="hybridMultilevel"/>
    <w:lvl w:ilvl="0">
      <w:lvlJc w:val="left"/>
      <w:lvlText w:val="(%1)"/>
      <w:numFmt w:val="decimal"/>
      <w:start w:val="1"/>
    </w:lvl>
  </w:abstractNum>
  <w:abstractNum w:abstractNumId="122">
    <w:nsid w:val="7AB49DAF"/>
    <w:multiLevelType w:val="hybridMultilevel"/>
    <w:lvl w:ilvl="0">
      <w:lvlJc w:val="left"/>
      <w:lvlText w:val="*"/>
      <w:numFmt w:val="bullet"/>
      <w:start w:val="1"/>
    </w:lvl>
  </w:abstractNum>
  <w:abstractNum w:abstractNumId="123">
    <w:nsid w:val="759F82CD"/>
    <w:multiLevelType w:val="hybridMultilevel"/>
    <w:lvl w:ilvl="0">
      <w:lvlJc w:val="left"/>
      <w:lvlText w:val="**"/>
      <w:numFmt w:val="bullet"/>
      <w:start w:val="1"/>
    </w:lvl>
  </w:abstractNum>
  <w:abstractNum w:abstractNumId="124">
    <w:nsid w:val="61E74EA3"/>
    <w:multiLevelType w:val="hybridMultilevel"/>
    <w:lvl w:ilvl="0">
      <w:lvlJc w:val="left"/>
      <w:lvlText w:val="%1."/>
      <w:numFmt w:val="decimal"/>
      <w:start w:val="1"/>
    </w:lvl>
  </w:abstractNum>
  <w:abstractNum w:abstractNumId="125">
    <w:nsid w:val="597B4D84"/>
    <w:multiLevelType w:val="hybridMultilevel"/>
    <w:lvl w:ilvl="0">
      <w:lvlJc w:val="left"/>
      <w:lvlText w:val="%1."/>
      <w:numFmt w:val="decimal"/>
      <w:start w:val="1"/>
    </w:lvl>
  </w:abstractNum>
  <w:abstractNum w:abstractNumId="126">
    <w:nsid w:val="F819E7F"/>
    <w:multiLevelType w:val="hybridMultilevel"/>
    <w:lvl w:ilvl="0">
      <w:lvlJc w:val="left"/>
      <w:lvlText w:val="%1."/>
      <w:numFmt w:val="decimal"/>
      <w:start w:val="1"/>
    </w:lvl>
  </w:abstractNum>
  <w:abstractNum w:abstractNumId="127">
    <w:nsid w:val="57C7D42D"/>
    <w:multiLevelType w:val="hybridMultilevel"/>
    <w:lvl w:ilvl="0">
      <w:lvlJc w:val="left"/>
      <w:lvlText w:val="%1."/>
      <w:numFmt w:val="decimal"/>
      <w:start w:val="2"/>
    </w:lvl>
  </w:abstractNum>
  <w:abstractNum w:abstractNumId="128">
    <w:nsid w:val="312167AD"/>
    <w:multiLevelType w:val="hybridMultilevel"/>
    <w:lvl w:ilvl="0">
      <w:lvlJc w:val="left"/>
      <w:lvlText w:val="%1."/>
      <w:numFmt w:val="decimal"/>
      <w:start w:val="2"/>
    </w:lvl>
  </w:abstractNum>
  <w:abstractNum w:abstractNumId="129">
    <w:nsid w:val="631B64D4"/>
    <w:multiLevelType w:val="hybridMultilevel"/>
    <w:lvl w:ilvl="0">
      <w:lvlJc w:val="left"/>
      <w:lvlText w:val="%1."/>
      <w:numFmt w:val="decimal"/>
      <w:start w:val="2"/>
    </w:lvl>
  </w:abstractNum>
  <w:abstractNum w:abstractNumId="130">
    <w:nsid w:val="78B5E776"/>
    <w:multiLevelType w:val="hybridMultilevel"/>
    <w:lvl w:ilvl="0">
      <w:lvlJc w:val="left"/>
      <w:lvlText w:val="%1."/>
      <w:numFmt w:val="decimal"/>
      <w:start w:val="2"/>
    </w:lvl>
  </w:abstractNum>
  <w:abstractNum w:abstractNumId="131">
    <w:nsid w:val="75486E47"/>
    <w:multiLevelType w:val="hybridMultilevel"/>
    <w:lvl w:ilvl="0">
      <w:lvlJc w:val="left"/>
      <w:lvlText w:val="%1."/>
      <w:numFmt w:val="decimal"/>
      <w:start w:val="2"/>
    </w:lvl>
  </w:abstractNum>
  <w:abstractNum w:abstractNumId="132">
    <w:nsid w:val="6E534CDE"/>
    <w:multiLevelType w:val="hybridMultilevel"/>
    <w:lvl w:ilvl="0">
      <w:lvlJc w:val="left"/>
      <w:lvlText w:val="%1."/>
      <w:numFmt w:val="decimal"/>
      <w:start w:val="2"/>
    </w:lvl>
  </w:abstractNum>
  <w:abstractNum w:abstractNumId="133">
    <w:nsid w:val="1A0DDE32"/>
    <w:multiLevelType w:val="hybridMultilevel"/>
    <w:lvl w:ilvl="0">
      <w:lvlJc w:val="left"/>
      <w:lvlText w:val="•"/>
      <w:numFmt w:val="bullet"/>
      <w:start w:val="1"/>
    </w:lvl>
  </w:abstractNum>
  <w:abstractNum w:abstractNumId="134">
    <w:nsid w:val="65968C1C"/>
    <w:multiLevelType w:val="hybridMultilevel"/>
    <w:lvl w:ilvl="0">
      <w:lvlJc w:val="left"/>
      <w:lvlText w:val="(%1)"/>
      <w:numFmt w:val="lowerRoman"/>
      <w:start w:val="8"/>
    </w:lvl>
  </w:abstractNum>
  <w:abstractNum w:abstractNumId="135">
    <w:nsid w:val="46263DEC"/>
    <w:multiLevelType w:val="hybridMultilevel"/>
    <w:lvl w:ilvl="0">
      <w:lvlJc w:val="left"/>
      <w:lvlText w:val="%1."/>
      <w:numFmt w:val="decimal"/>
      <w:start w:val="2"/>
    </w:lvl>
  </w:abstractNum>
  <w:abstractNum w:abstractNumId="136">
    <w:nsid w:val="260D8C4A"/>
    <w:multiLevelType w:val="hybridMultilevel"/>
    <w:lvl w:ilvl="0">
      <w:lvlJc w:val="left"/>
      <w:lvlText w:val="(%1)"/>
      <w:numFmt w:val="lowerRoman"/>
      <w:start w:val="1"/>
    </w:lvl>
  </w:abstractNum>
  <w:abstractNum w:abstractNumId="137">
    <w:nsid w:val="73D4D3C4"/>
    <w:multiLevelType w:val="hybridMultilevel"/>
    <w:lvl w:ilvl="0">
      <w:lvlJc w:val="left"/>
      <w:lvlText w:val="%1."/>
      <w:numFmt w:val="decimal"/>
      <w:start w:val="2"/>
    </w:lvl>
  </w:abstractNum>
  <w:abstractNum w:abstractNumId="138">
    <w:nsid w:val="746F2E30"/>
    <w:multiLevelType w:val="hybridMultilevel"/>
    <w:lvl w:ilvl="0">
      <w:lvlJc w:val="left"/>
      <w:lvlText w:val="(%1)"/>
      <w:numFmt w:val="lowerRoman"/>
      <w:start w:val="2"/>
    </w:lvl>
  </w:abstractNum>
  <w:abstractNum w:abstractNumId="139">
    <w:nsid w:val="6FDE8AF6"/>
    <w:multiLevelType w:val="hybridMultilevel"/>
    <w:lvl w:ilvl="0">
      <w:lvlJc w:val="left"/>
      <w:lvlText w:val="(%1)"/>
      <w:numFmt w:val="lowerRoman"/>
      <w:start w:val="3"/>
    </w:lvl>
  </w:abstractNum>
  <w:abstractNum w:abstractNumId="140">
    <w:nsid w:val="3FC32E20"/>
    <w:multiLevelType w:val="hybridMultilevel"/>
    <w:lvl w:ilvl="0">
      <w:lvlJc w:val="left"/>
      <w:lvlText w:val="•"/>
      <w:numFmt w:val="bullet"/>
      <w:start w:val="1"/>
    </w:lvl>
  </w:abstractNum>
  <w:abstractNum w:abstractNumId="141">
    <w:nsid w:val="49C0E823"/>
    <w:multiLevelType w:val="hybridMultilevel"/>
    <w:lvl w:ilvl="0">
      <w:lvlJc w:val="left"/>
      <w:lvlText w:val="(%1)"/>
      <w:numFmt w:val="lowerLetter"/>
      <w:start w:val="21"/>
    </w:lvl>
  </w:abstractNum>
  <w:abstractNum w:abstractNumId="142">
    <w:nsid w:val="14D53685"/>
    <w:multiLevelType w:val="hybridMultilevel"/>
    <w:lvl w:ilvl="0">
      <w:lvlJc w:val="left"/>
      <w:lvlText w:val="•"/>
      <w:numFmt w:val="bullet"/>
      <w:start w:val="1"/>
    </w:lvl>
  </w:abstractNum>
  <w:abstractNum w:abstractNumId="143">
    <w:nsid w:val="230F856C"/>
    <w:multiLevelType w:val="hybridMultilevel"/>
    <w:lvl w:ilvl="0">
      <w:lvlJc w:val="left"/>
      <w:lvlText w:val="%1."/>
      <w:numFmt w:val="decimal"/>
      <w:start w:val="2"/>
    </w:lvl>
  </w:abstractNum>
  <w:abstractNum w:abstractNumId="144">
    <w:nsid w:val="6EAA85FB"/>
    <w:multiLevelType w:val="hybridMultilevel"/>
    <w:lvl w:ilvl="0">
      <w:lvlJc w:val="left"/>
      <w:lvlText w:val="%1."/>
      <w:numFmt w:val="decimal"/>
      <w:start w:val="2"/>
    </w:lvl>
  </w:abstractNum>
  <w:abstractNum w:abstractNumId="145">
    <w:nsid w:val="3F06ECB2"/>
    <w:multiLevelType w:val="hybridMultilevel"/>
    <w:lvl w:ilvl="0">
      <w:lvlJc w:val="left"/>
      <w:lvlText w:val="%1."/>
      <w:numFmt w:val="decimal"/>
      <w:start w:val="2"/>
    </w:lvl>
  </w:abstractNum>
  <w:abstractNum w:abstractNumId="146">
    <w:nsid w:val="3B594807"/>
    <w:multiLevelType w:val="hybridMultilevel"/>
    <w:lvl w:ilvl="0">
      <w:lvlJc w:val="left"/>
      <w:lvlText w:val="(%1)"/>
      <w:numFmt w:val="lowerLetter"/>
      <w:start w:val="34"/>
    </w:lvl>
  </w:abstractNum>
  <w:abstractNum w:abstractNumId="147">
    <w:nsid w:val="6CAA2304"/>
    <w:multiLevelType w:val="hybridMultilevel"/>
    <w:lvl w:ilvl="0">
      <w:lvlJc w:val="left"/>
      <w:lvlText w:val="%1."/>
      <w:numFmt w:val="decimal"/>
      <w:start w:val="2"/>
    </w:lvl>
  </w:abstractNum>
  <w:abstractNum w:abstractNumId="148">
    <w:nsid w:val="3F7C2FF4"/>
    <w:multiLevelType w:val="hybridMultilevel"/>
    <w:lvl w:ilvl="0">
      <w:lvlJc w:val="left"/>
      <w:lvlText w:val="%1."/>
      <w:numFmt w:val="decimal"/>
      <w:start w:val="5"/>
    </w:lvl>
  </w:abstractNum>
  <w:abstractNum w:abstractNumId="149">
    <w:nsid w:val="25413BEC"/>
    <w:multiLevelType w:val="hybridMultilevel"/>
    <w:lvl w:ilvl="0">
      <w:lvlJc w:val="left"/>
      <w:lvlText w:val="(%1)"/>
      <w:numFmt w:val="lowerLetter"/>
      <w:start w:val="1"/>
    </w:lvl>
  </w:abstractNum>
  <w:abstractNum w:abstractNumId="150">
    <w:nsid w:val="17180B0B"/>
    <w:multiLevelType w:val="hybridMultilevel"/>
    <w:lvl w:ilvl="0">
      <w:lvlJc w:val="left"/>
      <w:lvlText w:val="(%1)"/>
      <w:numFmt w:val="decimal"/>
      <w:start w:val="1"/>
    </w:lvl>
  </w:abstractNum>
  <w:abstractNum w:abstractNumId="151">
    <w:nsid w:val="579328B9"/>
    <w:multiLevelType w:val="hybridMultilevel"/>
    <w:lvl w:ilvl="0">
      <w:lvlJc w:val="left"/>
      <w:lvlText w:val="(%1)"/>
      <w:numFmt w:val="decimal"/>
      <w:start w:val="1"/>
    </w:lvl>
  </w:abstractNum>
  <w:abstractNum w:abstractNumId="152">
    <w:nsid w:val="5D205E20"/>
    <w:multiLevelType w:val="hybridMultilevel"/>
    <w:lvl w:ilvl="0">
      <w:lvlJc w:val="left"/>
      <w:lvlText w:val="%1"/>
      <w:numFmt w:val="decimal"/>
      <w:start w:val="1"/>
    </w:lvl>
    <w:lvl w:ilvl="1">
      <w:lvlJc w:val="left"/>
      <w:lvlText w:val="(%2)"/>
      <w:numFmt w:val="decimal"/>
      <w:start w:val="1"/>
    </w:lvl>
  </w:abstractNum>
  <w:abstractNum w:abstractNumId="153">
    <w:nsid w:val="11CCA8BA"/>
    <w:multiLevelType w:val="hybridMultilevel"/>
    <w:lvl w:ilvl="0">
      <w:lvlJc w:val="left"/>
      <w:lvlText w:val="%1."/>
      <w:numFmt w:val="decimal"/>
      <w:start w:val="11"/>
    </w:lvl>
    <w:lvl w:ilvl="1">
      <w:lvlJc w:val="left"/>
      <w:lvlText w:val="%2"/>
      <w:numFmt w:val="decimal"/>
      <w:start w:val="1"/>
    </w:lvl>
  </w:abstractNum>
  <w:abstractNum w:abstractNumId="154">
    <w:nsid w:val="4D32AB86"/>
    <w:multiLevelType w:val="hybridMultilevel"/>
    <w:lvl w:ilvl="0">
      <w:lvlJc w:val="left"/>
      <w:lvlText w:val="%1."/>
      <w:numFmt w:val="decimal"/>
      <w:start w:val="13"/>
    </w:lvl>
  </w:abstractNum>
  <w:abstractNum w:abstractNumId="155">
    <w:nsid w:val="3F07ACC3"/>
    <w:multiLevelType w:val="hybridMultilevel"/>
    <w:lvl w:ilvl="0">
      <w:lvlJc w:val="left"/>
      <w:lvlText w:val="%1."/>
      <w:numFmt w:val="decimal"/>
      <w:start w:val="13"/>
    </w:lvl>
  </w:abstractNum>
  <w:abstractNum w:abstractNumId="156">
    <w:nsid w:val="6B47F63E"/>
    <w:multiLevelType w:val="hybridMultilevel"/>
    <w:lvl w:ilvl="0">
      <w:lvlJc w:val="left"/>
      <w:lvlText w:val="%1."/>
      <w:numFmt w:val="decimal"/>
      <w:start w:val="17"/>
    </w:lvl>
  </w:abstractNum>
  <w:abstractNum w:abstractNumId="157">
    <w:nsid w:val="5CB44A05"/>
    <w:multiLevelType w:val="hybridMultilevel"/>
    <w:lvl w:ilvl="0">
      <w:lvlJc w:val="left"/>
      <w:lvlText w:val="%1."/>
      <w:numFmt w:val="decimal"/>
      <w:start w:val="17"/>
    </w:lvl>
  </w:abstractNum>
  <w:abstractNum w:abstractNumId="158">
    <w:nsid w:val="16CF80F1"/>
    <w:multiLevelType w:val="hybridMultilevel"/>
    <w:lvl w:ilvl="0">
      <w:lvlJc w:val="left"/>
      <w:lvlText w:val="%1."/>
      <w:numFmt w:val="decimal"/>
      <w:start w:val="1"/>
    </w:lvl>
    <w:lvl w:ilvl="1">
      <w:lvlJc w:val="left"/>
      <w:lvlText w:val="(%2)"/>
      <w:numFmt w:val="lowerLetter"/>
      <w:start w:val="1"/>
    </w:lvl>
  </w:abstractNum>
  <w:abstractNum w:abstractNumId="159">
    <w:nsid w:val="1C695DEC"/>
    <w:multiLevelType w:val="hybridMultilevel"/>
    <w:lvl w:ilvl="0">
      <w:lvlJc w:val="left"/>
      <w:lvlText w:val="%1."/>
      <w:numFmt w:val="decimal"/>
      <w:start w:val="1"/>
    </w:lvl>
    <w:lvl w:ilvl="1">
      <w:lvlJc w:val="left"/>
      <w:lvlText w:val="(%2)"/>
      <w:numFmt w:val="lowerLetter"/>
      <w:start w:val="1"/>
    </w:lvl>
  </w:abstractNum>
  <w:abstractNum w:abstractNumId="160">
    <w:nsid w:val="3FCFAED9"/>
    <w:multiLevelType w:val="hybridMultilevel"/>
    <w:lvl w:ilvl="0">
      <w:lvlJc w:val="left"/>
      <w:lvlText w:val="%1."/>
      <w:numFmt w:val="decimal"/>
      <w:start w:val="1"/>
    </w:lvl>
    <w:lvl w:ilvl="1">
      <w:lvlJc w:val="left"/>
      <w:lvlText w:val="(%2)"/>
      <w:numFmt w:val="lowerLetter"/>
      <w:start w:val="1"/>
    </w:lvl>
  </w:abstractNum>
  <w:abstractNum w:abstractNumId="161">
    <w:nsid w:val="F856867"/>
    <w:multiLevelType w:val="hybridMultilevel"/>
    <w:lvl w:ilvl="0">
      <w:lvlJc w:val="left"/>
      <w:lvlText w:val="(%1)"/>
      <w:numFmt w:val="decimal"/>
      <w:start w:val="1"/>
    </w:lvl>
  </w:abstractNum>
  <w:abstractNum w:abstractNumId="162">
    <w:nsid w:val="11B1CC33"/>
    <w:multiLevelType w:val="hybridMultilevel"/>
    <w:lvl w:ilvl="0">
      <w:lvlJc w:val="left"/>
      <w:lvlText w:val="(%1)"/>
      <w:numFmt w:val="decimal"/>
      <w:start w:val="1"/>
    </w:lvl>
  </w:abstractNum>
  <w:abstractNum w:abstractNumId="163">
    <w:nsid w:val="2E22FB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13"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jpeg"/><Relationship Id="rId289" Type="http://schemas.openxmlformats.org/officeDocument/2006/relationships/image" Target="media/image268.png"/><Relationship Id="rId200" Type="http://schemas.openxmlformats.org/officeDocument/2006/relationships/hyperlink" Target="http://www.sec.gov/Archives/edgar/data/1778982/000119312519254503/d694712dex32.htm" TargetMode="External"/><Relationship Id="rId201" Type="http://schemas.openxmlformats.org/officeDocument/2006/relationships/hyperlink" Target="http://www.sec.gov/Archives/edgar/data/1778982/000119312520026402/d694712dex43.htm" TargetMode="External"/><Relationship Id="rId202" Type="http://schemas.openxmlformats.org/officeDocument/2006/relationships/hyperlink" Target="http://www.sec.gov/Archives/edgar/data/1778982/000119312520026402/d694712dex42.htm" TargetMode="External"/><Relationship Id="rId203" Type="http://schemas.openxmlformats.org/officeDocument/2006/relationships/hyperlink" Target="http://www.sec.gov/Archives/edgar/data/1778982/000119312519237332/d694712dex44.htm" TargetMode="External"/><Relationship Id="rId204" Type="http://schemas.openxmlformats.org/officeDocument/2006/relationships/hyperlink" Target="http://www.sec.gov/Archives/edgar/data/1778982/000119312520118223/d853073dex25.htm" TargetMode="External"/><Relationship Id="rId205" Type="http://schemas.openxmlformats.org/officeDocument/2006/relationships/hyperlink" Target="http://www.sec.gov/Archives/edgar/data/1778982/000119312519237332/d694712dex101.htm" TargetMode="External"/><Relationship Id="rId206" Type="http://schemas.openxmlformats.org/officeDocument/2006/relationships/hyperlink" Target="http://www.sec.gov/Archives/edgar/data/1778982/000119312519237332/d694712dex102.htm" TargetMode="External"/><Relationship Id="rId207" Type="http://schemas.openxmlformats.org/officeDocument/2006/relationships/hyperlink" Target="http://www.sec.gov/Archives/edgar/data/1778982/000119312519254503/d694712dex103.htm" TargetMode="External"/><Relationship Id="rId208" Type="http://schemas.openxmlformats.org/officeDocument/2006/relationships/hyperlink" Target="http://www.sec.gov/Archives/edgar/data/1778982/000119312519254503/d694712dex104.htm" TargetMode="External"/><Relationship Id="rId209" Type="http://schemas.openxmlformats.org/officeDocument/2006/relationships/hyperlink" Target="http://www.sec.gov/Archives/edgar/data/1778982/000119312519254503/d694712dex105.htm" TargetMode="External"/><Relationship Id="rId210" Type="http://schemas.openxmlformats.org/officeDocument/2006/relationships/hyperlink" Target="http://www.sec.gov/Archives/edgar/data/1778982/000119312519254503/d694712dex106.htm" TargetMode="External"/><Relationship Id="rId211" Type="http://schemas.openxmlformats.org/officeDocument/2006/relationships/hyperlink" Target="http://www.sec.gov/Archives/edgar/data/1778982/000119312519254503/d694712dex107.htm" TargetMode="External"/><Relationship Id="rId212" Type="http://schemas.openxmlformats.org/officeDocument/2006/relationships/hyperlink" Target="http://www.sec.gov/Archives/edgar/data/1778982/000119312519254503/d694712dex108.htm" TargetMode="External"/><Relationship Id="rId214" Type="http://schemas.openxmlformats.org/officeDocument/2006/relationships/hyperlink" Target="http://www.sec.gov/Archives/edgar/data/1778982/000119312519237332/d694712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2023-04-19T08:07:16Z</dcterms:created>
  <dcterms:modified xsi:type="dcterms:W3CDTF">2023-04-19T08:07:16Z</dcterms:modified>
</cp:coreProperties>
</file>