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Huize Holding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par value of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Cunjun Ma</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382,421,973.00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382,421,973.00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382,421,973.00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Represents (i) 136,833,446 Class A common shares issuable to Mr. Cunjun Ma upon exercise of options within 60 days of June 30, 2026; (ii) 12,481,800 Class A common shares in the form of ADSs held by Mr. Cunjun Ma; (iii) 7,839,032 Class A common shares and 150,591,207 Class B common shares held by Huidz Holding Limited; and (iv) 74,676,488 Class A common shares held by other shareholders of the Issuer, the sole voting power of which has been delegated to Mr. Cunjun Ma. Huidz Holding Limited is a company incorporated in British Virgin Islands and ultimately controlled by QYRT Family Trust, a trust established under the laws of the British Virgin Islands and managed by HSBC International Trustee Limited as the trustee. Mr. Cunjun Ma is the settlor of the trust and his family member(s) are the trust's beneficiaries. 2. The percentage of class of securities beneficially owned by each Reporting Person is based on a total of 1,010,607,623 common shares of the Issuer issued and outstanding as of February 28, 2026, being the sum of (i) 860,016,416 Class A common shares (excluding 151,869,900 Class A common shares reserved for issuance under the Issuer's share incentive plans and 50,414,900 Class A common shares in the form of ADSs that the Issuer repurchased under its share repurchase program) and (ii) 150,591,207 Class B common shares. 3. The voting power of the common shares beneficially owned by Mr. Cunjun Ma represents 76.5% of the total outstanding voting power of the Issuer. 4. For each Reporting Person, the percentage of aggregate voting power is calculated by dividing the voting power beneficially owned by such Reporting Person by the voting power of all of the Issuer's class A and class B common shares as a single class as of February 28, 2026. Each class A common share is entitled to one vote, and each class B common share is entitled to fifteen votes. Each class B common share is convertible at the option of the holder into one class A common share, whereas class A common shares are not convertible into class B common shares under any circumstances.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Huidz Holding Limited</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158,430,239.00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158,430,239.00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158,430,239.00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15.7 %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Represents 7,839,032 Class A common shares and 150,591,207 Class B common shares directly held by Huidz Holding Limited. 2. The voting power of the common shares beneficially owned by Huidz Holding Limited represents 72.7% of the total outstanding voting power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3"/>
        <w:gridCol w:w="8967"/>
        <w:gridCol w:w="155"/>
      </w:tblGrid>
      <w:tr>
        <w:trPr/>
        <w:tc>
          <w:tcPr>
            <w:tcW w:w="1083" w:type="dxa"/>
            <w:tcBorders/>
            <w:vAlign w:val="center"/>
          </w:tcPr>
          <w:p>
            <w:pPr>
              <w:pStyle w:val="TableContents"/>
              <w:bidi w:val="0"/>
              <w:spacing w:before="0" w:after="283"/>
              <w:jc w:val="left"/>
              <w:rPr/>
            </w:pPr>
            <w:r>
              <w:rPr/>
              <w:t>Item 1.</w:t>
            </w:r>
          </w:p>
        </w:tc>
        <w:tc>
          <w:tcPr>
            <w:tcW w:w="896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(a)</w:t>
            </w:r>
          </w:p>
        </w:tc>
        <w:tc>
          <w:tcPr>
            <w:tcW w:w="8967" w:type="dxa"/>
            <w:tcBorders/>
            <w:vAlign w:val="center"/>
          </w:tcPr>
          <w:p>
            <w:pPr>
              <w:pStyle w:val="TableContents"/>
              <w:bidi w:val="0"/>
              <w:jc w:val="left"/>
              <w:rPr/>
            </w:pPr>
            <w:r>
              <w:rPr/>
              <w:t xml:space="preserve">Name of issuer: </w:t>
            </w:r>
          </w:p>
          <w:p>
            <w:pPr>
              <w:pStyle w:val="TableContents"/>
              <w:bidi w:val="0"/>
              <w:spacing w:before="0" w:after="0"/>
              <w:jc w:val="left"/>
              <w:rPr/>
            </w:pPr>
            <w:r>
              <w:rPr/>
              <w:t>Huize Holding Limited</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(b)</w:t>
            </w:r>
          </w:p>
        </w:tc>
        <w:tc>
          <w:tcPr>
            <w:tcW w:w="89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49/F, Building T1, Qianhai Financial Centre, Linhai Avenue, Qianhai Shenzhen-Hong Kong Cooperation Zone, Shenzhen 518000, People's Republic of China</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2.</w:t>
            </w:r>
          </w:p>
        </w:tc>
        <w:tc>
          <w:tcPr>
            <w:tcW w:w="896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(a)</w:t>
            </w:r>
          </w:p>
        </w:tc>
        <w:tc>
          <w:tcPr>
            <w:tcW w:w="89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Cunjun Ma and Huidz Holding Limited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(b)</w:t>
            </w:r>
          </w:p>
        </w:tc>
        <w:tc>
          <w:tcPr>
            <w:tcW w:w="89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Cunjun Ma is 49/F, Building T1, Qianhai Financial Centre, Linhai Avenue, Qianhai Shenzhen-Hong Kong Cooperation Zone, Shenzhen 518000, People's Republic of China. The address of Huidz Holding Limited is Commerce House, Wickhams Cay 1, P.O. Box 3140, Road Town, Tortola, British Virgin Islands VG1 110.</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(c)</w:t>
            </w:r>
          </w:p>
        </w:tc>
        <w:tc>
          <w:tcPr>
            <w:tcW w:w="8967" w:type="dxa"/>
            <w:tcBorders/>
            <w:vAlign w:val="center"/>
          </w:tcPr>
          <w:p>
            <w:pPr>
              <w:pStyle w:val="TableContents"/>
              <w:bidi w:val="0"/>
              <w:jc w:val="left"/>
              <w:rPr/>
            </w:pPr>
            <w:r>
              <w:rPr/>
              <w:t xml:space="preserve">Citizenship: </w:t>
            </w:r>
          </w:p>
          <w:p>
            <w:pPr>
              <w:pStyle w:val="TableContents"/>
              <w:bidi w:val="0"/>
              <w:spacing w:before="0" w:after="0"/>
              <w:jc w:val="left"/>
              <w:rPr/>
            </w:pPr>
            <w:r>
              <w:rPr/>
              <w:t>Cunjun Ma is a citizen of the People's Republic of China. Huidz Holding Limited is a business company incorporated in British Virgin Islands.</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(d)</w:t>
            </w:r>
          </w:p>
        </w:tc>
        <w:tc>
          <w:tcPr>
            <w:tcW w:w="89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par value of $0.00001 per share</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(e)</w:t>
            </w:r>
          </w:p>
        </w:tc>
        <w:tc>
          <w:tcPr>
            <w:tcW w:w="896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3.</w:t>
            </w:r>
          </w:p>
        </w:tc>
        <w:tc>
          <w:tcPr>
            <w:tcW w:w="896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(a)</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(b)</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(c)</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(d)</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(e)</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(f)</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(g)</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(h)</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(j)</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(k)</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9122" w:type="dxa"/>
            <w:gridSpan w:val="2"/>
            <w:tcBorders/>
            <w:vAlign w:val="center"/>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4.</w:t>
            </w:r>
          </w:p>
        </w:tc>
        <w:tc>
          <w:tcPr>
            <w:tcW w:w="896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(a)</w:t>
            </w:r>
          </w:p>
        </w:tc>
        <w:tc>
          <w:tcPr>
            <w:tcW w:w="89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382,421,973</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(b)</w:t>
            </w:r>
          </w:p>
        </w:tc>
        <w:tc>
          <w:tcPr>
            <w:tcW w:w="89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33.3%  %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(c)</w:t>
            </w:r>
          </w:p>
        </w:tc>
        <w:tc>
          <w:tcPr>
            <w:tcW w:w="896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382,421,973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382,421,973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5.</w:t>
            </w:r>
          </w:p>
        </w:tc>
        <w:tc>
          <w:tcPr>
            <w:tcW w:w="896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6.</w:t>
            </w:r>
          </w:p>
        </w:tc>
        <w:tc>
          <w:tcPr>
            <w:tcW w:w="896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7.</w:t>
            </w:r>
          </w:p>
        </w:tc>
        <w:tc>
          <w:tcPr>
            <w:tcW w:w="89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8.</w:t>
            </w:r>
          </w:p>
        </w:tc>
        <w:tc>
          <w:tcPr>
            <w:tcW w:w="896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9.</w:t>
            </w:r>
          </w:p>
        </w:tc>
        <w:tc>
          <w:tcPr>
            <w:tcW w:w="896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728" w:type="dxa"/>
        <w:jc w:val="left"/>
        <w:tblInd w:w="0" w:type="dxa"/>
        <w:tblLayout w:type="fixed"/>
        <w:tblCellMar>
          <w:top w:w="28" w:type="dxa"/>
          <w:left w:w="28" w:type="dxa"/>
          <w:bottom w:w="28" w:type="dxa"/>
          <w:right w:w="28" w:type="dxa"/>
        </w:tblCellMar>
      </w:tblPr>
      <w:tblGrid>
        <w:gridCol w:w="1364"/>
        <w:gridCol w:w="1364"/>
      </w:tblGrid>
      <w:tr>
        <w:trPr/>
        <w:tc>
          <w:tcPr>
            <w:tcW w:w="1364" w:type="dxa"/>
            <w:tcBorders/>
            <w:vAlign w:val="center"/>
          </w:tcPr>
          <w:p>
            <w:pPr>
              <w:pStyle w:val="TableContents"/>
              <w:bidi w:val="0"/>
              <w:spacing w:before="0" w:after="0"/>
              <w:jc w:val="left"/>
              <w:rPr/>
            </w:pPr>
            <w:r>
              <w:rPr/>
              <w:t> </w:t>
            </w:r>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0"/>
                    <w:jc w:val="left"/>
                    <w:rPr/>
                  </w:pPr>
                  <w:r>
                    <w:rPr/>
                    <w:t>Cunjun Ma</w:t>
                  </w:r>
                </w:p>
              </w:tc>
            </w:tr>
          </w:tbl>
          <w:p>
            <w:pPr>
              <w:pStyle w:val="TableContents"/>
              <w:bidi w:val="0"/>
              <w:spacing w:before="0" w:after="283"/>
              <w:jc w:val="left"/>
              <w:rPr/>
            </w:pPr>
            <w:r>
              <w:rPr/>
            </w:r>
          </w:p>
        </w:tc>
        <w:tc>
          <w:tcPr>
            <w:tcW w:w="1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4"/>
        <w:gridCol w:w="4431"/>
      </w:tblGrid>
      <w:tr>
        <w:trPr/>
        <w:tc>
          <w:tcPr>
            <w:tcW w:w="57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Cunjun Ma</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Cunjun Ma</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431"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Huidz Holding Limited</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Cunjun Ma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Cunjun Ma / 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1257</Words>
  <Characters>6512</Characters>
  <CharactersWithSpaces>7743</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