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9402d6k.htm"/>
      <w:bookmarkStart w:id="1" w:name="ksd89402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001-39216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Huize Holding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(Registrant’s Name)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49/F, Building T1, Qianhai Financial Centre, Linhai Avenue, </w:t>
      </w:r>
    </w:p>
    <w:p>
      <w:pPr>
        <w:pStyle w:val="TextBody"/>
        <w:bidi w:val="0"/>
        <w:spacing w:before="0" w:after="0"/>
        <w:jc w:val="center"/>
        <w:rPr>
          <w:rFonts w:ascii="Times New Roman" w:hAnsi="Times New Roman"/>
          <w:b/>
          <w:sz w:val="20"/>
        </w:rPr>
      </w:pPr>
      <w:r>
        <w:rPr>
          <w:rFonts w:ascii="Times New Roman" w:hAnsi="Times New Roman"/>
          <w:b/>
          <w:sz w:val="20"/>
        </w:rPr>
        <w:t xml:space="preserve">Qianhai Shenzhen-Hong Kong Cooperation Zone, Shenzhen 518000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0"/>
        <w:gridCol w:w="670"/>
        <w:gridCol w:w="8335"/>
      </w:tblGrid>
      <w:tr>
        <w:trPr/>
        <w:tc>
          <w:tcPr>
            <w:tcW w:w="1200" w:type="dxa"/>
            <w:tcBorders/>
            <w:vAlign w:val="center"/>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8335" w:type="dxa"/>
            <w:tcBorders/>
            <w:vAlign w:val="center"/>
          </w:tcPr>
          <w:p>
            <w:pPr>
              <w:pStyle w:val="TableContents"/>
              <w:bidi w:val="0"/>
              <w:spacing w:before="0" w:after="283"/>
              <w:jc w:val="left"/>
              <w:rPr>
                <w:sz w:val="4"/>
                <w:szCs w:val="4"/>
              </w:rPr>
            </w:pPr>
            <w:r>
              <w:rPr>
                <w:sz w:val="4"/>
                <w:szCs w:val="4"/>
              </w:rPr>
            </w:r>
          </w:p>
        </w:tc>
      </w:tr>
      <w:tr>
        <w:trPr/>
        <w:tc>
          <w:tcPr>
            <w:tcW w:w="1200" w:type="dxa"/>
            <w:tcBorders/>
            <w:vAlign w:val="bottom"/>
          </w:tcPr>
          <w:p>
            <w:pPr>
              <w:pStyle w:val="TableContents"/>
              <w:bidi w:val="0"/>
              <w:spacing w:before="0" w:after="283"/>
              <w:jc w:val="center"/>
              <w:rPr>
                <w:b/>
              </w:rPr>
            </w:pPr>
            <w:r>
              <w:rPr>
                <w:b/>
              </w:rPr>
              <w:t>Exhibit No.</w:t>
            </w:r>
          </w:p>
        </w:tc>
        <w:tc>
          <w:tcPr>
            <w:tcW w:w="670" w:type="dxa"/>
            <w:tcBorders/>
            <w:vAlign w:val="bottom"/>
          </w:tcPr>
          <w:p>
            <w:pPr>
              <w:pStyle w:val="TableContents"/>
              <w:bidi w:val="0"/>
              <w:spacing w:before="0" w:after="283"/>
              <w:jc w:val="left"/>
              <w:rPr/>
            </w:pPr>
            <w:r>
              <w:rPr/>
              <w:t>  </w:t>
            </w:r>
          </w:p>
        </w:tc>
        <w:tc>
          <w:tcPr>
            <w:tcW w:w="8335" w:type="dxa"/>
            <w:tcBorders/>
            <w:vAlign w:val="bottom"/>
          </w:tcPr>
          <w:p>
            <w:pPr>
              <w:pStyle w:val="TableContents"/>
              <w:bidi w:val="0"/>
              <w:spacing w:before="0" w:after="283"/>
              <w:jc w:val="center"/>
              <w:rPr>
                <w:b/>
              </w:rPr>
            </w:pPr>
            <w:r>
              <w:rPr>
                <w:b/>
              </w:rPr>
              <w:t>Description</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99.1</w:t>
            </w:r>
          </w:p>
        </w:tc>
        <w:tc>
          <w:tcPr>
            <w:tcW w:w="670"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hyperlink w:anchor="d89402dex991.htm">
              <w:r>
                <w:rPr>
                  <w:rStyle w:val="InternetLink"/>
                </w:rPr>
                <w:t xml:space="preserve">Press Release — Huize Holding Limited Reports Unaudited Financial Results for the First Half of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92"/>
        <w:gridCol w:w="61"/>
        <w:gridCol w:w="3229"/>
      </w:tblGrid>
      <w:tr>
        <w:trPr/>
        <w:tc>
          <w:tcPr>
            <w:tcW w:w="79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Huize Holding Limited</w:t>
            </w:r>
          </w:p>
        </w:tc>
      </w:tr>
      <w:tr>
        <w:trPr>
          <w:trHeight w:val="240" w:hRule="atLeast"/>
        </w:trPr>
        <w:tc>
          <w:tcPr>
            <w:tcW w:w="792" w:type="dxa"/>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By :</w:t>
            </w:r>
          </w:p>
        </w:tc>
        <w:tc>
          <w:tcPr>
            <w:tcW w:w="61" w:type="dxa"/>
            <w:tcBorders/>
            <w:vAlign w:val="bottom"/>
          </w:tcPr>
          <w:p>
            <w:pPr>
              <w:pStyle w:val="TableContents"/>
              <w:bidi w:val="0"/>
              <w:spacing w:before="0" w:after="283"/>
              <w:jc w:val="left"/>
              <w:rPr/>
            </w:pPr>
            <w:r>
              <w:rPr/>
              <w:t> </w:t>
            </w:r>
          </w:p>
        </w:tc>
        <w:tc>
          <w:tcPr>
            <w:tcW w:w="32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Tam</w:t>
            </w:r>
          </w:p>
        </w:tc>
      </w:tr>
      <w:tr>
        <w:trPr/>
        <w:tc>
          <w:tcPr>
            <w:tcW w:w="792" w:type="dxa"/>
            <w:tcBorders/>
          </w:tcPr>
          <w:p>
            <w:pPr>
              <w:pStyle w:val="TableContents"/>
              <w:bidi w:val="0"/>
              <w:spacing w:before="0" w:after="283"/>
              <w:jc w:val="left"/>
              <w:rPr/>
            </w:pPr>
            <w:r>
              <w:rPr/>
              <w:t>Name :</w:t>
            </w:r>
          </w:p>
        </w:tc>
        <w:tc>
          <w:tcPr>
            <w:tcW w:w="61"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283"/>
              <w:jc w:val="left"/>
              <w:rPr/>
            </w:pPr>
            <w:r>
              <w:rPr/>
              <w:t>Ronald Tam</w:t>
            </w:r>
          </w:p>
        </w:tc>
      </w:tr>
      <w:tr>
        <w:trPr/>
        <w:tc>
          <w:tcPr>
            <w:tcW w:w="792" w:type="dxa"/>
            <w:tcBorders/>
          </w:tcPr>
          <w:p>
            <w:pPr>
              <w:pStyle w:val="TableContents"/>
              <w:bidi w:val="0"/>
              <w:spacing w:before="0" w:after="283"/>
              <w:jc w:val="left"/>
              <w:rPr/>
            </w:pPr>
            <w:r>
              <w:rPr/>
              <w:t>Title :</w:t>
            </w:r>
          </w:p>
        </w:tc>
        <w:tc>
          <w:tcPr>
            <w:tcW w:w="61" w:type="dxa"/>
            <w:tcBorders/>
            <w:vAlign w:val="bottom"/>
          </w:tcPr>
          <w:p>
            <w:pPr>
              <w:pStyle w:val="TableContents"/>
              <w:bidi w:val="0"/>
              <w:spacing w:before="0" w:after="283"/>
              <w:jc w:val="left"/>
              <w:rPr/>
            </w:pPr>
            <w:r>
              <w:rPr/>
              <w:t> </w:t>
            </w:r>
          </w:p>
        </w:tc>
        <w:tc>
          <w:tcPr>
            <w:tcW w:w="3229" w:type="dxa"/>
            <w:tcBorders/>
          </w:tcPr>
          <w:p>
            <w:pPr>
              <w:pStyle w:val="TableContents"/>
              <w:bidi w:val="0"/>
              <w:spacing w:before="0" w:after="283"/>
              <w:jc w:val="left"/>
              <w:rPr/>
            </w:pPr>
            <w:r>
              <w:rPr/>
              <w:t>Co-Chief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20, 2026 </w:t>
      </w:r>
    </w:p>
    <w:p>
      <w:pPr>
        <w:pStyle w:val="TextBody"/>
        <w:bidi w:val="0"/>
        <w:spacing w:before="0" w:after="0"/>
        <w:jc w:val="right"/>
        <w:rPr>
          <w:rFonts w:ascii="Times New Roman" w:hAnsi="Times New Roman"/>
          <w:b/>
          <w:sz w:val="20"/>
        </w:rPr>
      </w:pPr>
      <w:bookmarkStart w:id="2" w:name="d89402dex991.htm"/>
      <w:bookmarkStart w:id="3" w:name="ksd89402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Huize Holding Limited Reports Unaudited Financial Results for the First Half of 2026 </w:t>
      </w:r>
    </w:p>
    <w:p>
      <w:pPr>
        <w:pStyle w:val="TextBody"/>
        <w:bidi w:val="0"/>
        <w:spacing w:before="240" w:after="0"/>
        <w:jc w:val="left"/>
        <w:rPr>
          <w:rFonts w:ascii="Times New Roman" w:hAnsi="Times New Roman"/>
          <w:sz w:val="20"/>
        </w:rPr>
      </w:pPr>
      <w:r>
        <w:rPr>
          <w:rFonts w:ascii="Times New Roman" w:hAnsi="Times New Roman"/>
          <w:sz w:val="20"/>
        </w:rPr>
        <w:t xml:space="preserve">SHENZHEN, China, Aug. 20, 2026 (GLOBE NEWSWIRE) — Huize Holding Limited (“Huize”, the “Company” or “we”) (NASDAQ: HUIZ), a leading insurance technology platform connecting consumers, insurance carriers, and distribution partners digitally through data-driven and AI-powered solutions in Asia, today announced its unaudited financial results for the first half ended June 30, 2026. </w:t>
      </w:r>
    </w:p>
    <w:p>
      <w:pPr>
        <w:pStyle w:val="TextBody"/>
        <w:bidi w:val="0"/>
        <w:spacing w:before="240" w:after="0"/>
        <w:jc w:val="left"/>
        <w:rPr>
          <w:rFonts w:ascii="Times New Roman" w:hAnsi="Times New Roman"/>
          <w:b/>
          <w:sz w:val="20"/>
        </w:rPr>
      </w:pPr>
      <w:r>
        <w:rPr>
          <w:rFonts w:ascii="Times New Roman" w:hAnsi="Times New Roman"/>
          <w:b/>
          <w:sz w:val="20"/>
        </w:rPr>
        <w:t xml:space="preserve">First Half 2026 Financial and Operational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Insurance premiums reached new highs: </w:t>
            </w:r>
            <w:r>
              <w:rPr>
                <w:rFonts w:ascii="Times New Roman" w:hAnsi="Times New Roman"/>
                <w:sz w:val="20"/>
              </w:rPr>
              <w:t xml:space="preserve">Gross written premiums (“GWP”) rose to an all-time high of RMB4,196.4 million in the first half of 2026, representing an increase of 29.8% year-over-year. First-year premiums (“FYP”) recorded a strong 48.7% year-over-year growth to RMB2,763.0 million. This robust performance was underpinned by our high-quality customer franchise, consistently high persistency ratios, and broad product portfolio tailored to consumers’ evolving financial and protection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Sustained revenue growth and improved operating leverage: </w:t>
            </w:r>
            <w:r>
              <w:rPr>
                <w:rFonts w:ascii="Times New Roman" w:hAnsi="Times New Roman"/>
                <w:sz w:val="20"/>
              </w:rPr>
              <w:t xml:space="preserve">Total revenue rose 5.8% year-over-year to RMB719.8 million in the first half of 2026. Our expense-to-income ratio improved by 1.8 percentage points year-over-year to 24.2%, reflecting continued operating discipline and efficiency gains, supported by broader adoption of AI-enabled tools and workflow optimization. Consequently, our GAAP net profit attributable to common shareholders increased to RMB25.3 million in the first half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Cumulative number of insurance clients served </w:t>
            </w:r>
            <w:r>
              <w:rPr>
                <w:rFonts w:ascii="Times New Roman" w:hAnsi="Times New Roman"/>
                <w:sz w:val="20"/>
              </w:rPr>
              <w:t xml:space="preserve">increased to 13.1 million as of June 30, 2026. We worked with 159 </w:t>
            </w:r>
            <w:r>
              <w:rPr>
                <w:rFonts w:ascii="Times New Roman" w:hAnsi="Times New Roman"/>
                <w:b/>
                <w:sz w:val="20"/>
              </w:rPr>
              <w:t xml:space="preserve">insurer partners </w:t>
            </w:r>
            <w:r>
              <w:rPr>
                <w:rFonts w:ascii="Times New Roman" w:hAnsi="Times New Roman"/>
                <w:sz w:val="20"/>
              </w:rPr>
              <w:t xml:space="preserve">in mainland China and internationally as of June 30, 2026, including 90 life and health insurance companies and 69 property and casualty 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Cash and cash equivalents </w:t>
            </w:r>
            <w:r>
              <w:rPr>
                <w:rFonts w:ascii="Times New Roman" w:hAnsi="Times New Roman"/>
                <w:sz w:val="20"/>
              </w:rPr>
              <w:t xml:space="preserve">were RMB241.4 million (US$35.6 million) as of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Mr. Cunjun Ma, Founder and CEO of Huize, commented, “As we celebrate our 20 th anniversary, we are pleased to report another strong set of results. GWP reached a record high of RMB4.2 billion and FYP increased by 48.7% year-over-year to RMB2.8 billion in the first half of 2026. The integration of our proprietary AI capabilities across the organization, together with disciplined execution and operating efficiency gains, supported a sharp improvement in profitability, with net profit attributable to common shareholders increasing to RMB25.3 million. These achievements underscore the resilience of our business model and reaffirm its long-term viability in a rapidly changing market.” </w:t>
      </w:r>
    </w:p>
    <w:p>
      <w:pPr>
        <w:pStyle w:val="TextBody"/>
        <w:bidi w:val="0"/>
        <w:spacing w:before="240" w:after="0"/>
        <w:jc w:val="left"/>
        <w:rPr/>
      </w:pPr>
      <w:r>
        <w:rPr/>
        <w:t>“</w:t>
      </w:r>
      <w:r>
        <w:rPr>
          <w:rFonts w:ascii="Times New Roman" w:hAnsi="Times New Roman"/>
          <w:sz w:val="20"/>
        </w:rPr>
        <w:t xml:space="preserve">We continue to harness our advanced AI solutions to acquire high-quality, mass-affluent customers and deepen customer engagement. In the first half of 2026, we added approximately 789,000 new customers. The average age of customers purchasing long-term insurance products was 35.3 years, with 62.5% residing in tier-two cities and above. As of May 31, 2026, both our 13th- and 25th-month persistency ratios for long-term life and health insurance products remained at industry-high levels of over 95%, attesting to the strong loyalty of our customers and the widespread appeal of our tailored product offerings.” </w:t>
      </w:r>
    </w:p>
    <w:p>
      <w:pPr>
        <w:pStyle w:val="TextBody"/>
        <w:bidi w:val="0"/>
        <w:spacing w:before="240" w:after="0"/>
        <w:jc w:val="left"/>
        <w:rPr/>
      </w:pPr>
      <w:r>
        <w:rPr/>
        <w:t>“</w:t>
      </w:r>
      <w:r>
        <w:rPr>
          <w:rFonts w:ascii="Times New Roman" w:hAnsi="Times New Roman"/>
          <w:sz w:val="20"/>
        </w:rPr>
        <w:t xml:space="preserve">To address the full spectrum of lifetime financial and protection needs for our customers, we maintain close collaboration with insurer partners in co-developing and optimizing customized products. Against the backdrop of an aging demographic and growing demand for sophisticated financial planning, we launched ‘Bliss 5.0’ and ‘Dajia Hui Xuan 2026’, two participating annuity products offering premium and diversified retirement planning options. During the first half of 2026, we also unveiled ‘Darwin No.15 Kids Protection’, the latest iteration of our popular Darwin series of customized critical illness insurance products for children. Together, these new products further strengthen our differentiated portfolio of customized insurance products and support sustainable long-term growth.” </w:t>
      </w:r>
    </w:p>
    <w:p>
      <w:pPr>
        <w:pStyle w:val="TextBody"/>
        <w:bidi w:val="0"/>
        <w:spacing w:before="240" w:after="0"/>
        <w:jc w:val="left"/>
        <w:rPr/>
      </w:pPr>
      <w:r>
        <w:rPr/>
        <w:t>“</w:t>
      </w:r>
      <w:r>
        <w:rPr>
          <w:rFonts w:ascii="Times New Roman" w:hAnsi="Times New Roman"/>
          <w:sz w:val="20"/>
        </w:rPr>
        <w:t xml:space="preserve">We continued to advance our three-pillar AI strategy. First, we scaled proprietary AI applications across the organization, embedding AI into core workflows such as customer service and claims processing while building a more scalable operating model. Alongside disciplined cost management, these efforts helped improve our expense-to-income ratio by 1.8 percentage points year-over-year to 24.2% in the first half. Second, our AI App completed its upgrade to a phase 2.0 multi-agent architecture, with users increasingly turning to AI for insurance consultation, product understanding, and preliminary planning. We also launched a new AI-powered financial planning feature that generates customized family financial plans tailored to each household’s unique protection needs. Among active users, the feature achieved a 45% report generation rate, reflecting the evolution of user engagement from single-point service delivery toward more comprehensive advisory planning. Finally, we are accelerating the intelligent transformation of our platform by introducing advanced AI agents across the front, middle, and back offices. In parallel, we are integrating our AI capabilities with our knowledge base to help insurer partners design and optimize products that better respond to customers’ evolving financial and protection needs.”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First Half 2026 Financial Results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GWP and operating revenue </w:t>
      </w:r>
    </w:p>
    <w:p>
      <w:pPr>
        <w:pStyle w:val="TextBody"/>
        <w:bidi w:val="0"/>
        <w:spacing w:before="240" w:after="0"/>
        <w:jc w:val="left"/>
        <w:rPr>
          <w:rFonts w:ascii="Times New Roman" w:hAnsi="Times New Roman"/>
          <w:sz w:val="20"/>
        </w:rPr>
      </w:pPr>
      <w:r>
        <w:rPr>
          <w:rFonts w:ascii="Times New Roman" w:hAnsi="Times New Roman"/>
          <w:sz w:val="20"/>
        </w:rPr>
        <w:t xml:space="preserve">GWP facilitated on our platform was RMB4,196.4 million (US$618.5 million) in the first half of 2026, representing an increase of 29.8% from RMB3,233.7 million in the same period of 2025. Within GWP facilitated in the first half of 2026, FYP accounted for RMB2,763.0 million (or 65.8% of total GWP), representing an increase of 48.7% year-over-year. Renewal premiums accounted for RMB1,433.4 million (or 34.2% of total GWP), representing an increase of 4.2% year-over-year. </w:t>
      </w:r>
    </w:p>
    <w:p>
      <w:pPr>
        <w:pStyle w:val="TextBody"/>
        <w:bidi w:val="0"/>
        <w:spacing w:before="240" w:after="0"/>
        <w:jc w:val="left"/>
        <w:rPr>
          <w:rFonts w:ascii="Times New Roman" w:hAnsi="Times New Roman"/>
          <w:sz w:val="20"/>
        </w:rPr>
      </w:pPr>
      <w:r>
        <w:rPr>
          <w:rFonts w:ascii="Times New Roman" w:hAnsi="Times New Roman"/>
          <w:sz w:val="20"/>
        </w:rPr>
        <w:t xml:space="preserve">Operating revenue was RMB719.8 million (US$106.1 million) in the first half of 2026, representing an increase of 5.8% from RMB680.5 million in the same period of 2025. The increase was primarily driven by growth in both FYP facilitated and renewal premiums.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Operating costs </w:t>
      </w:r>
    </w:p>
    <w:p>
      <w:pPr>
        <w:pStyle w:val="TextBody"/>
        <w:bidi w:val="0"/>
        <w:spacing w:before="120" w:after="0"/>
        <w:jc w:val="left"/>
        <w:rPr>
          <w:rFonts w:ascii="Times New Roman" w:hAnsi="Times New Roman"/>
          <w:sz w:val="20"/>
        </w:rPr>
      </w:pPr>
      <w:r>
        <w:rPr>
          <w:rFonts w:ascii="Times New Roman" w:hAnsi="Times New Roman"/>
          <w:sz w:val="20"/>
        </w:rPr>
        <w:t xml:space="preserve">Operating costs were RMB523.7 million (US$77.2 million) in the first half of 2026, representing an increase of 5.1% from RMB498.2 million in the same period of 2025, primarily due to an increase in channel expenses.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expenses were RMB109.8 million (US$16.2 million) in the first half of 2026, representing an increase of 10.0% from RMB99.8 million in the same period of 2025, primarily due to an increase in advertising and marketing expenses.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RMB33.0 million (US$4.9 million) in the first half of 2026, representing a decrease of 31.4% from RMB48.2 million in the same period of 2025. This decrease was primarily due to a decrease in share-based compensation expenses and office expenses.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RMB31.7 million (US$4.7 million) in the first half of 2026, representing an increase of 7.8% from RMB29.4 million in the same period of 2025, primarily due to the increase in external technical service costs in support of our technology development initiatives.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Net profit and non-GAAP net profit for the period </w:t>
      </w:r>
    </w:p>
    <w:p>
      <w:pPr>
        <w:pStyle w:val="TextBody"/>
        <w:bidi w:val="0"/>
        <w:spacing w:before="120" w:after="0"/>
        <w:jc w:val="left"/>
        <w:rPr>
          <w:rFonts w:ascii="Times New Roman" w:hAnsi="Times New Roman"/>
          <w:sz w:val="20"/>
        </w:rPr>
      </w:pPr>
      <w:r>
        <w:rPr>
          <w:rFonts w:ascii="Times New Roman" w:hAnsi="Times New Roman"/>
          <w:sz w:val="20"/>
        </w:rPr>
        <w:t xml:space="preserve">Net profit attributable to common shareholders was RMB25.3 million (US$3.7 million) in the first half of 2026, compared to net profit attributable to common shareholders of RMB2.3 million in the same period of 2025. Non-GAAP net profit attributable to common shareholders was RMB3.1 million (US$0.5 million) in the first half of 2026, compared to non-GAAP net loss attributable to common shareholders of RMB3.3 million in the same period of 2025.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Company’s cash and cash equivalents amounted to RMB241.4 million (US$35.6 million), compared to RMB250.8 million as of December 31, 2025. </w:t>
      </w:r>
    </w:p>
    <w:p>
      <w:pPr>
        <w:pStyle w:val="TextBody"/>
        <w:bidi w:val="0"/>
        <w:spacing w:before="24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team will hold an earnings conference call at 8:00 A.M. Eastern Time on Thursday, August 20, 2026 (8:00 P.M. Beijing/Hong Kong Time on Thursday, August 20, 2026). Details of the conference call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Event Title: Huize Holding Limited’s First Half 2026 Earnings Conference Call </w:t>
      </w:r>
    </w:p>
    <w:p>
      <w:pPr>
        <w:pStyle w:val="TextBody"/>
        <w:bidi w:val="0"/>
        <w:spacing w:before="240" w:after="0"/>
        <w:jc w:val="left"/>
        <w:rPr>
          <w:rFonts w:ascii="Times New Roman" w:hAnsi="Times New Roman"/>
          <w:sz w:val="20"/>
        </w:rPr>
      </w:pPr>
      <w:r>
        <w:rPr>
          <w:rFonts w:ascii="Times New Roman" w:hAnsi="Times New Roman"/>
          <w:sz w:val="20"/>
        </w:rPr>
        <w:t xml:space="preserve">Registration Link: </w:t>
      </w:r>
      <w:r>
        <w:rPr>
          <w:rFonts w:ascii="Times New Roman" w:hAnsi="Times New Roman"/>
          <w:sz w:val="20"/>
          <w:u w:val="single"/>
        </w:rPr>
        <w:t>https://register-conf.media-server.com/register/BI3e1c9859199c423aa4a0dea7b00027a2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participants must use the link provided above to complete the online registration before the conference call. Upon registration, each participant will receive a confirmation email containing dial-in numbers and a unique access PIN for joining the conference call. </w:t>
      </w:r>
    </w:p>
    <w:p>
      <w:pPr>
        <w:pStyle w:val="TextBody"/>
        <w:bidi w:val="0"/>
        <w:spacing w:before="240" w:after="0"/>
        <w:jc w:val="left"/>
        <w:rPr>
          <w:rFonts w:ascii="Times New Roman" w:hAnsi="Times New Roman"/>
          <w:sz w:val="20"/>
        </w:rPr>
      </w:pPr>
      <w:r>
        <w:rPr>
          <w:rFonts w:ascii="Times New Roman" w:hAnsi="Times New Roman"/>
          <w:sz w:val="20"/>
        </w:rPr>
        <w:t>Additionally, a live and archived webcast of the conference call will be available on the Company’s investor relations website at</w:t>
      </w:r>
      <w:r>
        <w:rPr>
          <w:rFonts w:ascii="Times New Roman" w:hAnsi="Times New Roman"/>
          <w:sz w:val="20"/>
          <w:u w:val="single"/>
        </w:rPr>
        <w:t xml:space="preserve"> http://ir.huize.com.</w:t>
      </w:r>
      <w:r>
        <w:rPr>
          <w:rFonts w:ascii="Times New Roman" w:hAnsi="Times New Roman"/>
          <w:sz w:val="20"/>
        </w:rPr>
        <w:t xml:space="preserve">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About Huize Holding Limited </w:t>
      </w:r>
    </w:p>
    <w:p>
      <w:pPr>
        <w:pStyle w:val="TextBody"/>
        <w:bidi w:val="0"/>
        <w:spacing w:before="120" w:after="0"/>
        <w:jc w:val="left"/>
        <w:rPr>
          <w:rFonts w:ascii="Times New Roman" w:hAnsi="Times New Roman"/>
          <w:sz w:val="20"/>
        </w:rPr>
      </w:pPr>
      <w:r>
        <w:rPr>
          <w:rFonts w:ascii="Times New Roman" w:hAnsi="Times New Roman"/>
          <w:sz w:val="20"/>
        </w:rPr>
        <w:t xml:space="preserve">Huize Holding Limited is a leading insurance technology platform connecting consumers, insurance carriers and distribution partners digitally through data-driven and AI-powered solutions in Asia. Targeting mass affluent consumers, Huize is dedicated to serving consumers for their life-long insurance needs. Its online-to-offline integrated insurance ecosystem covers the entire insurance life cycle and offers consumers a wide spectrum of insurance products, one-stop services, and a streamlined transaction experience across all scenarios. By leveraging AI, data analytics, and digital capabilities, Huize empowers the insurance service chain with proprietary technology-enabled solutions for insurance consultation, user engagement, marketing, risk management, and claims service.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visit </w:t>
      </w:r>
      <w:r>
        <w:rPr>
          <w:rFonts w:ascii="Times New Roman" w:hAnsi="Times New Roman"/>
          <w:sz w:val="20"/>
          <w:u w:val="single"/>
        </w:rPr>
        <w:t>http://ir.huize.com</w:t>
      </w:r>
      <w:r>
        <w:rPr>
          <w:rFonts w:ascii="Times New Roman" w:hAnsi="Times New Roman"/>
          <w:sz w:val="20"/>
        </w:rPr>
        <w:t xml:space="preserve"> or follow us on social media via LinkedIn (</w:t>
      </w:r>
      <w:r>
        <w:rPr>
          <w:rFonts w:ascii="Times New Roman" w:hAnsi="Times New Roman"/>
          <w:sz w:val="20"/>
          <w:u w:val="single"/>
        </w:rPr>
        <w:t>https://www.linkedin.com/company/huize-holding-limited</w:t>
      </w:r>
      <w:r>
        <w:rPr>
          <w:rFonts w:ascii="Times New Roman" w:hAnsi="Times New Roman"/>
          <w:sz w:val="20"/>
        </w:rPr>
        <w:t>), X (</w:t>
      </w:r>
      <w:r>
        <w:rPr>
          <w:rFonts w:ascii="Times New Roman" w:hAnsi="Times New Roman"/>
          <w:sz w:val="20"/>
          <w:u w:val="single"/>
        </w:rPr>
        <w:t>https://x.com/huizeholding</w:t>
      </w:r>
      <w:r>
        <w:rPr>
          <w:rFonts w:ascii="Times New Roman" w:hAnsi="Times New Roman"/>
          <w:sz w:val="20"/>
        </w:rPr>
        <w:t>) and Webull (</w:t>
      </w:r>
      <w:r>
        <w:rPr>
          <w:rFonts w:ascii="Times New Roman" w:hAnsi="Times New Roman"/>
          <w:sz w:val="20"/>
          <w:u w:val="single"/>
        </w:rPr>
        <w:t>https://www.webull.com/quote/nasdaq-huiz</w:t>
      </w:r>
      <w:r>
        <w:rPr>
          <w:rFonts w:ascii="Times New Roman" w:hAnsi="Times New Roman"/>
          <w:sz w:val="20"/>
        </w:rPr>
        <w:t xml:space="preserve">).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Use of Non-GAAP Financial Measure Statement </w:t>
      </w:r>
    </w:p>
    <w:p>
      <w:pPr>
        <w:pStyle w:val="TextBody"/>
        <w:bidi w:val="0"/>
        <w:spacing w:before="120" w:after="0"/>
        <w:jc w:val="left"/>
        <w:rPr>
          <w:rFonts w:ascii="Times New Roman" w:hAnsi="Times New Roman"/>
          <w:sz w:val="20"/>
        </w:rPr>
      </w:pPr>
      <w:r>
        <w:rPr>
          <w:rFonts w:ascii="Times New Roman" w:hAnsi="Times New Roman"/>
          <w:sz w:val="20"/>
        </w:rPr>
        <w:t xml:space="preserve">In evaluating our business, we consider and use non-GAAP net profit/(loss) attributable to common shareholders as a supplemental measure to review and assess our operating performance. The presentation of the non-GAAP financial measure is not intended to be considered in isolation or as a substitute for the financial information prepared and presented in accordance with U.S. GAAP. We define non-GAAP net profit/(loss) attributable to common shareholders as net profit/(loss) attributable to common shareholders excluding share-based compensation expenses. Such adjustments have no impact on income tax because either the non-GAAP adjustments were recorded at entities located in tax free jurisdictions, such as the Cayman Islands or because the non-GAAP adjustments were recorded at operating entities located in the PRC for which the non-GAAP adjustments were not deductible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We present the non-GAAP financial measure because it is used by our management to evaluate our operating performance and formulate business plans. Non-GAAP net profit/(loss) attributable to common shareholders enables our management to assess our operating results without considering the impact of share-based compensation expenses. We also believe that the use of this non-GAAP financial measure facilitates investors’ assessment of our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This non-GAAP financial measure is not defined under U.S. GAAP and is not presented in accordance with U.S. GAAP. The non-GAAP financial measure has limitations as an analytical tool. One of the key limitations of using adjusted net profit/(loss) attributable to common shareholders is that it does not reflect all items of income and expense that affect our operations. Further, the non-GAAP financial measure may differ from the non-GAAP financial information used by other companies, including peer companies, and therefore their comparability may be limited. </w:t>
      </w:r>
    </w:p>
    <w:p>
      <w:pPr>
        <w:pStyle w:val="TextBody"/>
        <w:bidi w:val="0"/>
        <w:spacing w:before="240" w:after="0"/>
        <w:jc w:val="left"/>
        <w:rPr>
          <w:rFonts w:ascii="Times New Roman" w:hAnsi="Times New Roman"/>
          <w:sz w:val="20"/>
        </w:rPr>
      </w:pPr>
      <w:r>
        <w:rPr>
          <w:rFonts w:ascii="Times New Roman" w:hAnsi="Times New Roman"/>
          <w:sz w:val="20"/>
        </w:rPr>
        <w:t xml:space="preserve">The non-GAAP financial measure should not be considered in isolation or construed as an alternative to net profit/(loss) attributable to common shareholders or any other measure of performance or as an indicator of our operating performance. Investors are encouraged to review the historical non-GAAP financial measure in light of the most directly comparable GAAP measure, as shown below. The non-GAAP financial measure presented here may not be comparable to similarly titled measure presented by other companies. Other companies may calculate similarly titled measures differently, limiting the usefulness of such measures when analyzing our data comparatively. We encourage investors and others to review our financial information in its entirety and not rely on a single financial measure.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Exchange 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translations of certain RMB amounts into U.S. dollars at a specified rate solely for the convenience of the reader. Unless otherwise noted, all translations from RMB to U.S. dollars and from U.S. dollars to RMB are made at a rate of RMB6.7851 to US$1.00, the exchange rate on June 30, 2026, set forth in the H.10 statistical release of the Federal Reserve Board. The Company makes no representation that the RMB or U.S. dollars amounts referred could be converted into U.S. dollars or RMB, as the case may be, at any particular rate or at all.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U.S. Private Securities Litigation Reform Act of 1995. Statements that are not historical facts, including statements about Huize’s beliefs and expectations, are forward-looking statements. These forward-looking statements can be identified by terminology such as “will,” “expects,” “anticipates,” “future,” “intends,” “plans,” “believes,” “estimates,” “confident” and similar statements. Among other things, business outlook and quotations from management in this announcement, contain forward-looking statements. Huize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Huize’s goal and strategies; Huize’s expansion plans; Huize’s future business development, financial condition and results of operations; Huize’s expectation regarding the demand for, and market acceptance of, its online insurance products; Huize’s expectations regarding its relationship with insurer partners and insurance clients and other parties it collaborates with; general economic and business conditions; and assumptions underlying or related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Further information regarding these and other risks is included in Huize’s filings with the SEC. All information provided in this press release is as of the date of this press release, and Huize does not undertake any obligation to update any forward-looking statement,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For investor and media inquiries, please contact: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investor@huize.com </w:t>
      </w:r>
    </w:p>
    <w:p>
      <w:pPr>
        <w:pStyle w:val="TextBody"/>
        <w:bidi w:val="0"/>
        <w:spacing w:before="240" w:after="0"/>
        <w:jc w:val="left"/>
        <w:rPr>
          <w:rFonts w:ascii="Times New Roman" w:hAnsi="Times New Roman"/>
          <w:b/>
          <w:sz w:val="20"/>
        </w:rPr>
      </w:pPr>
      <w:r>
        <w:rPr>
          <w:rFonts w:ascii="Times New Roman" w:hAnsi="Times New Roman"/>
          <w:b/>
          <w:sz w:val="20"/>
        </w:rPr>
        <w:t xml:space="preserve">Media Relations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mediacenter@huize.com </w:t>
      </w:r>
    </w:p>
    <w:p>
      <w:pPr>
        <w:pStyle w:val="TextBody"/>
        <w:bidi w:val="0"/>
        <w:spacing w:before="240" w:after="0"/>
        <w:jc w:val="left"/>
        <w:rPr>
          <w:rFonts w:ascii="Times New Roman" w:hAnsi="Times New Roman"/>
          <w:b/>
          <w:sz w:val="20"/>
        </w:rPr>
      </w:pPr>
      <w:r>
        <w:rPr>
          <w:rFonts w:ascii="Times New Roman" w:hAnsi="Times New Roman"/>
          <w:b/>
          <w:sz w:val="20"/>
        </w:rPr>
        <w:t xml:space="preserve">Christensen Advisory </w:t>
      </w:r>
    </w:p>
    <w:p>
      <w:pPr>
        <w:pStyle w:val="TextBody"/>
        <w:bidi w:val="0"/>
        <w:spacing w:before="0" w:after="0"/>
        <w:jc w:val="left"/>
        <w:rPr>
          <w:rFonts w:ascii="Times New Roman" w:hAnsi="Times New Roman"/>
          <w:sz w:val="20"/>
        </w:rPr>
      </w:pPr>
      <w:r>
        <w:rPr>
          <w:rFonts w:ascii="Times New Roman" w:hAnsi="Times New Roman"/>
          <w:sz w:val="20"/>
        </w:rPr>
        <w:t xml:space="preserve">Dolly Zhang </w:t>
      </w:r>
    </w:p>
    <w:p>
      <w:pPr>
        <w:pStyle w:val="TextBody"/>
        <w:bidi w:val="0"/>
        <w:spacing w:before="0" w:after="0"/>
        <w:jc w:val="left"/>
        <w:rPr>
          <w:rFonts w:ascii="Times New Roman" w:hAnsi="Times New Roman"/>
          <w:sz w:val="20"/>
        </w:rPr>
      </w:pPr>
      <w:r>
        <w:rPr>
          <w:rFonts w:ascii="Times New Roman" w:hAnsi="Times New Roman"/>
          <w:sz w:val="20"/>
        </w:rPr>
        <w:t xml:space="preserve">Phone: +852 6996 4179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dolly.zhang@christensencomms.com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Huize Holding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22"/>
        <w:gridCol w:w="287"/>
        <w:gridCol w:w="124"/>
        <w:gridCol w:w="1853"/>
        <w:gridCol w:w="155"/>
        <w:gridCol w:w="250"/>
        <w:gridCol w:w="60"/>
        <w:gridCol w:w="880"/>
        <w:gridCol w:w="155"/>
        <w:gridCol w:w="250"/>
        <w:gridCol w:w="60"/>
        <w:gridCol w:w="817"/>
        <w:gridCol w:w="159"/>
      </w:tblGrid>
      <w:tr>
        <w:trPr/>
        <w:tc>
          <w:tcPr>
            <w:tcW w:w="3522"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2"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2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159" w:type="dxa"/>
            <w:tcBorders/>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2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9" w:type="dxa"/>
            <w:tcBorders/>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977"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bidi w:val="0"/>
              <w:spacing w:before="0" w:after="283"/>
              <w:jc w:val="center"/>
              <w:rPr>
                <w:b/>
              </w:rPr>
            </w:pPr>
            <w:r>
              <w:rPr>
                <w:b/>
              </w:rPr>
              <w:t>USD</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18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522"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18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250,826</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241,399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35,578</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51,473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25,921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3,820</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2,936</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2,568</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378</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 net of allowance</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86,249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104,806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15,447</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receivables, net of allowance</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172,539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219,161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32,301</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Insurance premium receivables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1,141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1,512</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223</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4,315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5,109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753</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 and other receivables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89,504</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80,349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11,842</w:t>
            </w:r>
          </w:p>
        </w:tc>
        <w:tc>
          <w:tcPr>
            <w:tcW w:w="159" w:type="dxa"/>
            <w:tcBorders/>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658,983</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680,825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100,342</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18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29,683</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29,702</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4,378</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 net of allowance</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45,574</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46,566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6,863</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38,242</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35,548</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5,239</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66,013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67,310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9,920</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65,012</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72,453</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10,679</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19,349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14,479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2,134</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14,075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14,075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2,074</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1,236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1,236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182</w:t>
            </w:r>
          </w:p>
        </w:tc>
        <w:tc>
          <w:tcPr>
            <w:tcW w:w="159" w:type="dxa"/>
            <w:tcBorders/>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279,184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281,369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41,469</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938,167</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962,194</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141,811</w:t>
            </w:r>
          </w:p>
        </w:tc>
        <w:tc>
          <w:tcPr>
            <w:tcW w:w="159" w:type="dxa"/>
            <w:tcBorders/>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p>
            <w:pPr>
              <w:pStyle w:val="TableContents"/>
              <w:bidi w:val="0"/>
              <w:spacing w:before="0" w:after="20"/>
              <w:jc w:val="left"/>
              <w:rPr>
                <w:rFonts w:ascii="Times New Roman" w:hAnsi="Times New Roman"/>
                <w:b/>
                <w:sz w:val="20"/>
              </w:rPr>
            </w:pPr>
            <w:r>
              <w:rPr>
                <w:rFonts w:ascii="Times New Roman" w:hAnsi="Times New Roman"/>
                <w:b/>
                <w:sz w:val="20"/>
              </w:rPr>
              <w:t>Current liabilities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18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Short-term borrowings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53,000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57,732</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8,509</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194,951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270,183</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39,819</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Insurance premium payables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41,295</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31,606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4,658</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payables and accrued expenses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41,965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23,915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3,525</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Payroll and welfare payable</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81,813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55,049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8,113</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7,953</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13,966</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2,059</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17,275</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16,910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2,492</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 due to related parties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20,415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4,889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722</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458,667</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474,250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69,897</w:t>
            </w:r>
          </w:p>
        </w:tc>
        <w:tc>
          <w:tcPr>
            <w:tcW w:w="159" w:type="dxa"/>
            <w:tcBorders/>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18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Long-term borrowings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6,990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14,380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14,325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2,111</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14,966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6,810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1,004</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Payroll and welfare payable</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liability</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11,269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17,726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2,612</w:t>
            </w:r>
          </w:p>
        </w:tc>
        <w:tc>
          <w:tcPr>
            <w:tcW w:w="159" w:type="dxa"/>
            <w:tcBorders/>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47,653</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38,873</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5,729</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506,320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513,123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75,626</w:t>
            </w:r>
          </w:p>
        </w:tc>
        <w:tc>
          <w:tcPr>
            <w:tcW w:w="159" w:type="dxa"/>
            <w:tcBorders/>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18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Class A common shares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63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63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9</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common shares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(29,513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(29,513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(4,350</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910,209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911,046</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134,272</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(14,695</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(18,552</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(2,734</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(454,845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(429,507</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(63,301</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equity attributable to Huize Holding Limited shareholders</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411,229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433,547</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63,897</w:t>
            </w:r>
          </w:p>
        </w:tc>
        <w:tc>
          <w:tcPr>
            <w:tcW w:w="159" w:type="dxa"/>
            <w:tcBorders/>
            <w:vAlign w:val="bottom"/>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20,618</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15,524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2,288</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3" w:type="dxa"/>
            <w:tcBorders/>
            <w:vAlign w:val="bottom"/>
          </w:tcPr>
          <w:p>
            <w:pPr>
              <w:pStyle w:val="TableContents"/>
              <w:bidi w:val="0"/>
              <w:spacing w:before="0" w:after="283"/>
              <w:jc w:val="right"/>
              <w:rPr/>
            </w:pPr>
            <w:r>
              <w:rPr/>
              <w:t>431,847</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449,071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66,185</w:t>
            </w:r>
          </w:p>
        </w:tc>
        <w:tc>
          <w:tcPr>
            <w:tcW w:w="159" w:type="dxa"/>
            <w:tcBorders/>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28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3" w:type="dxa"/>
            <w:tcBorders/>
            <w:shd w:fill="CCEEFF" w:val="clear"/>
            <w:vAlign w:val="bottom"/>
          </w:tcPr>
          <w:p>
            <w:pPr>
              <w:pStyle w:val="TableContents"/>
              <w:bidi w:val="0"/>
              <w:spacing w:before="0" w:after="283"/>
              <w:jc w:val="right"/>
              <w:rPr/>
            </w:pPr>
            <w:r>
              <w:rPr/>
              <w:t>938,167</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962,194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141,811</w:t>
            </w:r>
          </w:p>
        </w:tc>
        <w:tc>
          <w:tcPr>
            <w:tcW w:w="159" w:type="dxa"/>
            <w:tcBorders/>
            <w:shd w:fill="CCEEFF" w:val="clear"/>
            <w:vAlign w:val="bottom"/>
          </w:tcPr>
          <w:p>
            <w:pPr>
              <w:pStyle w:val="TableContents"/>
              <w:bidi w:val="0"/>
              <w:spacing w:before="0" w:after="283"/>
              <w:jc w:val="left"/>
              <w:rPr/>
            </w:pPr>
            <w:r>
              <w:rPr/>
              <w:t> </w:t>
            </w:r>
          </w:p>
        </w:tc>
      </w:tr>
      <w:tr>
        <w:trPr/>
        <w:tc>
          <w:tcPr>
            <w:tcW w:w="3522"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Huize Holding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Statements of Comprehensive Income/(Loss)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87"/>
        <w:gridCol w:w="164"/>
        <w:gridCol w:w="60"/>
        <w:gridCol w:w="1472"/>
        <w:gridCol w:w="155"/>
        <w:gridCol w:w="128"/>
        <w:gridCol w:w="60"/>
        <w:gridCol w:w="1472"/>
        <w:gridCol w:w="155"/>
        <w:gridCol w:w="128"/>
        <w:gridCol w:w="60"/>
        <w:gridCol w:w="1471"/>
        <w:gridCol w:w="160"/>
      </w:tblGrid>
      <w:tr>
        <w:trPr/>
        <w:tc>
          <w:tcPr>
            <w:tcW w:w="3087"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7" w:type="dxa"/>
            <w:vMerge w:val="restart"/>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16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160" w:type="dxa"/>
            <w:tcBorders/>
            <w:vAlign w:val="bottom"/>
          </w:tcPr>
          <w:p>
            <w:pPr>
              <w:pStyle w:val="TableContents"/>
              <w:bidi w:val="0"/>
              <w:spacing w:before="0" w:after="283"/>
              <w:jc w:val="left"/>
              <w:rPr/>
            </w:pPr>
            <w:r>
              <w:rPr/>
              <w:t> </w:t>
            </w:r>
          </w:p>
        </w:tc>
      </w:tr>
      <w:tr>
        <w:trPr/>
        <w:tc>
          <w:tcPr>
            <w:tcW w:w="3087" w:type="dxa"/>
            <w:vMerge w:val="continue"/>
            <w:tcBorders/>
            <w:vAlign w:val="bottom"/>
          </w:tcPr>
          <w:p>
            <w:pPr>
              <w:pStyle w:val="Normal"/>
              <w:bidi w:val="0"/>
              <w:jc w:val="left"/>
              <w:rPr/>
            </w:pPr>
            <w:r>
              <w:rPr/>
            </w:r>
          </w:p>
        </w:tc>
        <w:tc>
          <w:tcPr>
            <w:tcW w:w="164" w:type="dxa"/>
            <w:tcBorders/>
            <w:vAlign w:val="bottom"/>
          </w:tcPr>
          <w:p>
            <w:pPr>
              <w:pStyle w:val="TableContents"/>
              <w:bidi w:val="0"/>
              <w:spacing w:before="0" w:after="283"/>
              <w:jc w:val="left"/>
              <w:rPr/>
            </w:pPr>
            <w:r>
              <w:rPr/>
              <w:t>  </w:t>
            </w:r>
          </w:p>
        </w:tc>
        <w:tc>
          <w:tcPr>
            <w:tcW w:w="15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3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0" w:type="dxa"/>
            <w:tcBorders/>
            <w:vAlign w:val="bottom"/>
          </w:tcPr>
          <w:p>
            <w:pPr>
              <w:pStyle w:val="TableContents"/>
              <w:bidi w:val="0"/>
              <w:spacing w:before="0" w:after="283"/>
              <w:jc w:val="left"/>
              <w:rPr/>
            </w:pPr>
            <w:r>
              <w:rPr/>
              <w:t> </w:t>
            </w:r>
          </w:p>
        </w:tc>
      </w:tr>
      <w:tr>
        <w:trPr/>
        <w:tc>
          <w:tcPr>
            <w:tcW w:w="3087" w:type="dxa"/>
            <w:vMerge w:val="continue"/>
            <w:tcBorders/>
            <w:vAlign w:val="bottom"/>
          </w:tcPr>
          <w:p>
            <w:pPr>
              <w:pStyle w:val="Normal"/>
              <w:bidi w:val="0"/>
              <w:jc w:val="left"/>
              <w:rPr/>
            </w:pPr>
            <w:r>
              <w:rPr/>
            </w:r>
          </w:p>
        </w:tc>
        <w:tc>
          <w:tcPr>
            <w:tcW w:w="164"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31" w:type="dxa"/>
            <w:gridSpan w:val="2"/>
            <w:tcBorders/>
            <w:vAlign w:val="bottom"/>
          </w:tcPr>
          <w:p>
            <w:pPr>
              <w:pStyle w:val="TableContents"/>
              <w:bidi w:val="0"/>
              <w:spacing w:before="0" w:after="283"/>
              <w:jc w:val="center"/>
              <w:rPr>
                <w:b/>
              </w:rPr>
            </w:pPr>
            <w:r>
              <w:rPr>
                <w:b/>
              </w:rPr>
              <w:t>USD</w:t>
            </w:r>
          </w:p>
        </w:tc>
        <w:tc>
          <w:tcPr>
            <w:tcW w:w="160" w:type="dxa"/>
            <w:tcBorders/>
            <w:vAlign w:val="bottom"/>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revenue</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087" w:type="dxa"/>
            <w:tcBorders/>
          </w:tcPr>
          <w:p>
            <w:pPr>
              <w:pStyle w:val="TableContents"/>
              <w:bidi w:val="0"/>
              <w:spacing w:before="0" w:after="0"/>
              <w:jc w:val="left"/>
              <w:rPr>
                <w:rFonts w:ascii="Times New Roman" w:hAnsi="Times New Roman"/>
                <w:sz w:val="20"/>
              </w:rPr>
            </w:pPr>
            <w:r>
              <w:rPr>
                <w:rFonts w:ascii="Times New Roman" w:hAnsi="Times New Roman"/>
                <w:sz w:val="20"/>
              </w:rPr>
              <w:t>Brokerage income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656,394</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687,970</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101,394</w:t>
            </w:r>
          </w:p>
        </w:tc>
        <w:tc>
          <w:tcPr>
            <w:tcW w:w="160" w:type="dxa"/>
            <w:tcBorders/>
            <w:vAlign w:val="bottom"/>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24,141</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31,861</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4,696</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revenue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680,535</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719,831</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106,090</w:t>
            </w:r>
          </w:p>
        </w:tc>
        <w:tc>
          <w:tcPr>
            <w:tcW w:w="160" w:type="dxa"/>
            <w:tcBorders/>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costs and expenses</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087"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(495,248</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(519,972</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(76,635</w:t>
            </w:r>
          </w:p>
        </w:tc>
        <w:tc>
          <w:tcPr>
            <w:tcW w:w="160" w:type="dxa"/>
            <w:tcBorders/>
            <w:vAlign w:val="bottom"/>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cost</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(2,996</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(3,769</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(555</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costs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(498,244</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(523,741</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(77,190</w:t>
            </w:r>
          </w:p>
        </w:tc>
        <w:tc>
          <w:tcPr>
            <w:tcW w:w="160" w:type="dxa"/>
            <w:tcBorders/>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(99,775</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(109,768</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(16,178</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(48,163</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(33,048</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(4,871</w:t>
            </w:r>
          </w:p>
        </w:tc>
        <w:tc>
          <w:tcPr>
            <w:tcW w:w="160" w:type="dxa"/>
            <w:tcBorders/>
            <w:vAlign w:val="bottom"/>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(29,441</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(31,733</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(4,677</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costs and expenses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(675,623</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(698,290</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(102,916</w:t>
            </w:r>
          </w:p>
        </w:tc>
        <w:tc>
          <w:tcPr>
            <w:tcW w:w="160" w:type="dxa"/>
            <w:tcBorders/>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profit</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4,912</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21,541</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3,174</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income/(expenses)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1,445</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1,555</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229</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sz w:val="20"/>
              </w:rPr>
            </w:pPr>
            <w:r>
              <w:rPr>
                <w:rFonts w:ascii="Times New Roman" w:hAnsi="Times New Roman"/>
                <w:sz w:val="20"/>
              </w:rPr>
              <w:t>Unrealized exchange (loss)/income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(769</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318</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47</w:t>
            </w:r>
          </w:p>
        </w:tc>
        <w:tc>
          <w:tcPr>
            <w:tcW w:w="160" w:type="dxa"/>
            <w:tcBorders/>
            <w:vAlign w:val="bottom"/>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loss</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(1,369</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(247</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(36</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1,182</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1,756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258</w:t>
            </w:r>
          </w:p>
        </w:tc>
        <w:tc>
          <w:tcPr>
            <w:tcW w:w="160" w:type="dxa"/>
            <w:tcBorders/>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Profit before income tax, and share of (loss)/profit of equity method investee</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5,401</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24,923</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3,672</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sz w:val="20"/>
              </w:rPr>
            </w:pPr>
            <w:r>
              <w:rPr>
                <w:rFonts w:ascii="Times New Roman" w:hAnsi="Times New Roman"/>
                <w:sz w:val="20"/>
              </w:rPr>
              <w:t>Share of (loss)/profit of equity method investee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(1,671</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3,343</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493</w:t>
            </w:r>
          </w:p>
        </w:tc>
        <w:tc>
          <w:tcPr>
            <w:tcW w:w="160" w:type="dxa"/>
            <w:tcBorders/>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tax expense</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(3,424</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(8,022</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(1,182</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b/>
                <w:sz w:val="20"/>
              </w:rPr>
            </w:pPr>
            <w:r>
              <w:rPr>
                <w:rFonts w:ascii="Times New Roman" w:hAnsi="Times New Roman"/>
                <w:b/>
                <w:sz w:val="20"/>
              </w:rPr>
              <w:t>Net profit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306</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20,244</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2,983</w:t>
            </w:r>
          </w:p>
        </w:tc>
        <w:tc>
          <w:tcPr>
            <w:tcW w:w="160" w:type="dxa"/>
            <w:tcBorders/>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non-controlling interests</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(1,983</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(5,094</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(751</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b/>
                <w:sz w:val="20"/>
              </w:rPr>
            </w:pPr>
            <w:r>
              <w:rPr>
                <w:rFonts w:ascii="Times New Roman" w:hAnsi="Times New Roman"/>
                <w:b/>
                <w:sz w:val="20"/>
              </w:rPr>
              <w:t>Net profit attributable to Huize Holding Limited</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2,289</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25,338</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3,734</w:t>
            </w:r>
          </w:p>
        </w:tc>
        <w:tc>
          <w:tcPr>
            <w:tcW w:w="160" w:type="dxa"/>
            <w:tcBorders/>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profit</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306</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20,244</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2,983</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 net of tax</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(470</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(3,857</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(568</w:t>
            </w:r>
          </w:p>
        </w:tc>
        <w:tc>
          <w:tcPr>
            <w:tcW w:w="160" w:type="dxa"/>
            <w:tcBorders/>
            <w:vAlign w:val="bottom"/>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(loss)/ profit</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16,387</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2,415</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b/>
                <w:sz w:val="20"/>
              </w:rPr>
            </w:pPr>
            <w:r>
              <w:rPr>
                <w:rFonts w:ascii="Times New Roman" w:hAnsi="Times New Roman"/>
                <w:b/>
                <w:sz w:val="20"/>
              </w:rPr>
              <w:t>Comprehensive loss attributable to non-controlling interests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(1,983</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(5,094</w:t>
            </w:r>
          </w:p>
        </w:tc>
        <w:tc>
          <w:tcPr>
            <w:tcW w:w="15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(751</w:t>
            </w:r>
          </w:p>
        </w:tc>
        <w:tc>
          <w:tcPr>
            <w:tcW w:w="160" w:type="dxa"/>
            <w:tcBorders/>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income attributable to Huize Holding Limited</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1,819</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21,481</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3,166</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common shares used in computing net profit per share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1,008,857,623</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1,014,288,339</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1,014,288,339</w:t>
            </w:r>
          </w:p>
        </w:tc>
        <w:tc>
          <w:tcPr>
            <w:tcW w:w="160" w:type="dxa"/>
            <w:tcBorders/>
            <w:shd w:fill="CCEEFF" w:val="clear"/>
            <w:vAlign w:val="bottom"/>
          </w:tcPr>
          <w:p>
            <w:pPr>
              <w:pStyle w:val="TableContents"/>
              <w:bidi w:val="0"/>
              <w:spacing w:before="0" w:after="283"/>
              <w:jc w:val="left"/>
              <w:rPr/>
            </w:pPr>
            <w:r>
              <w:rPr/>
              <w:t> </w:t>
            </w:r>
          </w:p>
        </w:tc>
      </w:tr>
      <w:tr>
        <w:trPr/>
        <w:tc>
          <w:tcPr>
            <w:tcW w:w="3087" w:type="dxa"/>
            <w:tcBorders/>
          </w:tcPr>
          <w:p>
            <w:pPr>
              <w:pStyle w:val="TableContents"/>
              <w:bidi w:val="0"/>
              <w:spacing w:before="0" w:after="0"/>
              <w:jc w:val="left"/>
              <w:rPr>
                <w:rFonts w:ascii="Times New Roman" w:hAnsi="Times New Roman"/>
                <w:b/>
                <w:sz w:val="20"/>
              </w:rPr>
            </w:pPr>
            <w:r>
              <w:rPr>
                <w:rFonts w:ascii="Times New Roman" w:hAnsi="Times New Roman"/>
                <w:b/>
                <w:sz w:val="20"/>
              </w:rPr>
              <w:t>Net profit per share attributable to common shareholders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7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0.00</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0.02</w:t>
            </w:r>
          </w:p>
        </w:tc>
        <w:tc>
          <w:tcPr>
            <w:tcW w:w="15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0.00</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Huize Holding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Reconciliations of GAAP and Non-GAAP Results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for share and per share data)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05"/>
        <w:gridCol w:w="188"/>
        <w:gridCol w:w="77"/>
        <w:gridCol w:w="826"/>
        <w:gridCol w:w="202"/>
        <w:gridCol w:w="167"/>
        <w:gridCol w:w="77"/>
        <w:gridCol w:w="993"/>
        <w:gridCol w:w="202"/>
        <w:gridCol w:w="167"/>
        <w:gridCol w:w="77"/>
        <w:gridCol w:w="830"/>
        <w:gridCol w:w="161"/>
      </w:tblGrid>
      <w:tr>
        <w:trPr/>
        <w:tc>
          <w:tcPr>
            <w:tcW w:w="460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0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61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w:t>
            </w:r>
          </w:p>
        </w:tc>
        <w:tc>
          <w:tcPr>
            <w:tcW w:w="161" w:type="dxa"/>
            <w:tcBorders/>
            <w:vAlign w:val="bottom"/>
          </w:tcPr>
          <w:p>
            <w:pPr>
              <w:pStyle w:val="TableContents"/>
              <w:bidi w:val="0"/>
              <w:spacing w:before="0" w:after="283"/>
              <w:jc w:val="left"/>
              <w:rPr/>
            </w:pPr>
            <w:r>
              <w:rPr/>
              <w:t> </w:t>
            </w:r>
          </w:p>
        </w:tc>
      </w:tr>
      <w:tr>
        <w:trPr/>
        <w:tc>
          <w:tcPr>
            <w:tcW w:w="460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0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1" w:type="dxa"/>
            <w:tcBorders/>
            <w:vAlign w:val="bottom"/>
          </w:tcPr>
          <w:p>
            <w:pPr>
              <w:pStyle w:val="TableContents"/>
              <w:bidi w:val="0"/>
              <w:spacing w:before="0" w:after="283"/>
              <w:jc w:val="left"/>
              <w:rPr/>
            </w:pPr>
            <w:r>
              <w:rPr/>
              <w:t> </w:t>
            </w:r>
          </w:p>
        </w:tc>
      </w:tr>
      <w:tr>
        <w:trPr/>
        <w:tc>
          <w:tcPr>
            <w:tcW w:w="460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03" w:type="dxa"/>
            <w:gridSpan w:val="2"/>
            <w:tcBorders/>
            <w:vAlign w:val="bottom"/>
          </w:tcPr>
          <w:p>
            <w:pPr>
              <w:pStyle w:val="TableContents"/>
              <w:bidi w:val="0"/>
              <w:spacing w:before="0" w:after="283"/>
              <w:jc w:val="center"/>
              <w:rPr>
                <w:b/>
              </w:rPr>
            </w:pPr>
            <w:r>
              <w:rPr>
                <w:b/>
              </w:rPr>
              <w:t>RMB</w:t>
            </w:r>
          </w:p>
        </w:tc>
        <w:tc>
          <w:tcPr>
            <w:tcW w:w="20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b/>
              </w:rPr>
            </w:pPr>
            <w:r>
              <w:rPr>
                <w:b/>
              </w:rPr>
              <w:t>RMB</w:t>
            </w:r>
          </w:p>
        </w:tc>
        <w:tc>
          <w:tcPr>
            <w:tcW w:w="20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07" w:type="dxa"/>
            <w:gridSpan w:val="2"/>
            <w:tcBorders/>
            <w:vAlign w:val="bottom"/>
          </w:tcPr>
          <w:p>
            <w:pPr>
              <w:pStyle w:val="TableContents"/>
              <w:bidi w:val="0"/>
              <w:spacing w:before="0" w:after="283"/>
              <w:jc w:val="center"/>
              <w:rPr>
                <w:b/>
              </w:rPr>
            </w:pPr>
            <w:r>
              <w:rPr>
                <w:b/>
              </w:rPr>
              <w:t>USD</w:t>
            </w:r>
          </w:p>
        </w:tc>
        <w:tc>
          <w:tcPr>
            <w:tcW w:w="161" w:type="dxa"/>
            <w:tcBorders/>
            <w:vAlign w:val="bottom"/>
          </w:tcPr>
          <w:p>
            <w:pPr>
              <w:pStyle w:val="TableContents"/>
              <w:bidi w:val="0"/>
              <w:spacing w:before="0" w:after="283"/>
              <w:jc w:val="left"/>
              <w:rPr/>
            </w:pPr>
            <w:r>
              <w:rPr/>
              <w:t> </w:t>
            </w:r>
          </w:p>
        </w:tc>
      </w:tr>
      <w:tr>
        <w:trPr/>
        <w:tc>
          <w:tcPr>
            <w:tcW w:w="46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profit attributable to common shareholders</w:t>
            </w:r>
          </w:p>
        </w:tc>
        <w:tc>
          <w:tcPr>
            <w:tcW w:w="18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2,289</w:t>
            </w:r>
          </w:p>
        </w:tc>
        <w:tc>
          <w:tcPr>
            <w:tcW w:w="20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25,338</w:t>
            </w:r>
          </w:p>
        </w:tc>
        <w:tc>
          <w:tcPr>
            <w:tcW w:w="20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3,734</w:t>
            </w:r>
          </w:p>
        </w:tc>
        <w:tc>
          <w:tcPr>
            <w:tcW w:w="161" w:type="dxa"/>
            <w:tcBorders/>
            <w:shd w:fill="CCEEFF" w:val="clear"/>
            <w:vAlign w:val="bottom"/>
          </w:tcPr>
          <w:p>
            <w:pPr>
              <w:pStyle w:val="TableContents"/>
              <w:bidi w:val="0"/>
              <w:spacing w:before="0" w:after="283"/>
              <w:jc w:val="left"/>
              <w:rPr/>
            </w:pPr>
            <w:r>
              <w:rPr/>
              <w:t> </w:t>
            </w:r>
          </w:p>
        </w:tc>
      </w:tr>
      <w:tr>
        <w:trPr/>
        <w:tc>
          <w:tcPr>
            <w:tcW w:w="4605"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18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(5,630</w:t>
            </w:r>
          </w:p>
        </w:tc>
        <w:tc>
          <w:tcPr>
            <w:tcW w:w="20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(22,256</w:t>
            </w:r>
          </w:p>
        </w:tc>
        <w:tc>
          <w:tcPr>
            <w:tcW w:w="20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(3,280</w:t>
            </w:r>
          </w:p>
        </w:tc>
        <w:tc>
          <w:tcPr>
            <w:tcW w:w="161" w:type="dxa"/>
            <w:tcBorders/>
            <w:vAlign w:val="bottom"/>
          </w:tcPr>
          <w:p>
            <w:pPr>
              <w:pStyle w:val="TableContents"/>
              <w:bidi w:val="0"/>
              <w:spacing w:before="0" w:after="283"/>
              <w:jc w:val="left"/>
              <w:rPr/>
            </w:pPr>
            <w:r>
              <w:rPr/>
              <w:t>) </w:t>
            </w:r>
          </w:p>
        </w:tc>
      </w:tr>
      <w:tr>
        <w:trPr/>
        <w:tc>
          <w:tcPr>
            <w:tcW w:w="460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6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net (loss)/profit attributable to common shareholders</w:t>
            </w:r>
          </w:p>
        </w:tc>
        <w:tc>
          <w:tcPr>
            <w:tcW w:w="18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(3,341</w:t>
            </w:r>
          </w:p>
        </w:tc>
        <w:tc>
          <w:tcPr>
            <w:tcW w:w="20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3,082</w:t>
            </w:r>
          </w:p>
        </w:tc>
        <w:tc>
          <w:tcPr>
            <w:tcW w:w="20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454</w:t>
            </w:r>
          </w:p>
        </w:tc>
        <w:tc>
          <w:tcPr>
            <w:tcW w:w="161" w:type="dxa"/>
            <w:tcBorders/>
            <w:shd w:fill="CCEEFF" w:val="clear"/>
            <w:vAlign w:val="bottom"/>
          </w:tcPr>
          <w:p>
            <w:pPr>
              <w:pStyle w:val="TableContents"/>
              <w:bidi w:val="0"/>
              <w:spacing w:before="0" w:after="283"/>
              <w:jc w:val="left"/>
              <w:rPr/>
            </w:pPr>
            <w:r>
              <w:rPr/>
              <w:t> </w:t>
            </w:r>
          </w:p>
        </w:tc>
      </w:tr>
      <w:tr>
        <w:trPr/>
        <w:tc>
          <w:tcPr>
            <w:tcW w:w="460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20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3052</Words>
  <Characters>18171</Characters>
  <CharactersWithSpaces>22412</CharactersWithSpaces>
  <Paragraphs>1629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